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600" w:lineRule="exact"/>
        <w:jc w:val="both"/>
        <w:rPr>
          <w:rFonts w:hint="default" w:ascii="仿宋_GB2312" w:eastAsia="仿宋_GB2312"/>
          <w:kern w:val="0"/>
          <w:sz w:val="32"/>
          <w:szCs w:val="32"/>
          <w:lang w:val="en" w:bidi="en-US"/>
        </w:rPr>
      </w:pPr>
      <w:r>
        <w:rPr>
          <w:rFonts w:hint="eastAsia" w:ascii="仿宋_GB2312" w:eastAsia="仿宋_GB2312"/>
          <w:kern w:val="0"/>
          <w:sz w:val="32"/>
          <w:szCs w:val="32"/>
          <w:lang w:bidi="en-US"/>
        </w:rPr>
        <w:t>附件</w:t>
      </w:r>
      <w:r>
        <w:rPr>
          <w:rFonts w:hint="default" w:ascii="仿宋_GB2312" w:eastAsia="仿宋_GB2312"/>
          <w:kern w:val="0"/>
          <w:sz w:val="32"/>
          <w:szCs w:val="32"/>
          <w:lang w:val="en" w:bidi="en-US"/>
        </w:rPr>
        <w:t>:</w:t>
      </w:r>
    </w:p>
    <w:p>
      <w:pPr>
        <w:widowControl/>
        <w:adjustRightInd w:val="0"/>
        <w:snapToGrid w:val="0"/>
        <w:spacing w:line="600" w:lineRule="exact"/>
        <w:jc w:val="both"/>
        <w:rPr>
          <w:rFonts w:hint="default" w:ascii="仿宋_GB2312" w:eastAsia="仿宋_GB2312"/>
          <w:kern w:val="0"/>
          <w:sz w:val="32"/>
          <w:szCs w:val="32"/>
          <w:lang w:val="en" w:bidi="en-US"/>
        </w:rPr>
      </w:pPr>
    </w:p>
    <w:p>
      <w:pPr>
        <w:widowControl/>
        <w:adjustRightInd w:val="0"/>
        <w:snapToGrid w:val="0"/>
        <w:spacing w:line="600" w:lineRule="exact"/>
        <w:jc w:val="center"/>
        <w:rPr>
          <w:rFonts w:ascii="小标宋" w:hAnsi="宋体" w:eastAsia="小标宋" w:cs="Batang"/>
          <w:kern w:val="0"/>
          <w:sz w:val="44"/>
          <w:szCs w:val="44"/>
        </w:rPr>
      </w:pPr>
      <w:r>
        <w:rPr>
          <w:rFonts w:hint="eastAsia" w:ascii="小标宋" w:hAnsi="宋体" w:eastAsia="小标宋" w:cs="宋体"/>
          <w:kern w:val="0"/>
          <w:sz w:val="44"/>
          <w:szCs w:val="44"/>
          <w:lang w:bidi="ar"/>
        </w:rPr>
        <w:t>科技馆免费开放补助资</w:t>
      </w:r>
      <w:r>
        <w:rPr>
          <w:rFonts w:hint="eastAsia" w:ascii="小标宋" w:hAnsi="宋体" w:eastAsia="小标宋" w:cs="Batang"/>
          <w:kern w:val="0"/>
          <w:sz w:val="44"/>
          <w:szCs w:val="44"/>
          <w:lang w:bidi="ar"/>
        </w:rPr>
        <w:t>金</w:t>
      </w:r>
      <w:r>
        <w:rPr>
          <w:rFonts w:hint="eastAsia" w:ascii="小标宋" w:hAnsi="宋体" w:eastAsia="小标宋" w:cs="宋体"/>
          <w:kern w:val="0"/>
          <w:sz w:val="44"/>
          <w:szCs w:val="44"/>
          <w:lang w:bidi="ar"/>
        </w:rPr>
        <w:t>管理办法</w:t>
      </w:r>
    </w:p>
    <w:p>
      <w:pPr>
        <w:pStyle w:val="2"/>
        <w:widowControl/>
        <w:spacing w:before="0" w:after="0" w:line="240" w:lineRule="exact"/>
        <w:rPr>
          <w:rFonts w:hint="default" w:ascii="楷体" w:hAnsi="楷体" w:eastAsia="楷体" w:cs="楷体"/>
          <w:color w:val="000000"/>
          <w:sz w:val="32"/>
          <w:szCs w:val="32"/>
          <w:lang w:val="en" w:bidi="ar"/>
        </w:rPr>
      </w:pPr>
      <w:r>
        <w:rPr>
          <w:rFonts w:hint="default" w:ascii="楷体" w:hAnsi="楷体" w:eastAsia="楷体" w:cs="楷体"/>
          <w:color w:val="000000"/>
          <w:sz w:val="32"/>
          <w:szCs w:val="32"/>
          <w:lang w:val="en" w:bidi="ar"/>
        </w:rPr>
        <w:t xml:space="preserve">  </w:t>
      </w:r>
    </w:p>
    <w:p>
      <w:pPr>
        <w:rPr>
          <w:rFonts w:hint="default"/>
          <w:lang w:val="en"/>
        </w:rPr>
      </w:pPr>
    </w:p>
    <w:p>
      <w:pPr>
        <w:pStyle w:val="6"/>
        <w:widowControl/>
        <w:spacing w:line="620" w:lineRule="exact"/>
        <w:ind w:firstLine="0" w:firstLineChars="0"/>
        <w:jc w:val="center"/>
        <w:rPr>
          <w:rFonts w:ascii="黑体" w:eastAsia="黑体" w:cs="黑体"/>
          <w:sz w:val="32"/>
          <w:szCs w:val="32"/>
        </w:rPr>
      </w:pPr>
      <w:r>
        <w:rPr>
          <w:rFonts w:hint="eastAsia" w:ascii="黑体" w:eastAsia="黑体" w:cs="黑体"/>
          <w:sz w:val="32"/>
          <w:szCs w:val="32"/>
        </w:rPr>
        <w:t>第一章  总  则</w:t>
      </w:r>
    </w:p>
    <w:p>
      <w:pPr>
        <w:pStyle w:val="6"/>
        <w:widowControl/>
        <w:spacing w:line="620" w:lineRule="exact"/>
        <w:ind w:firstLine="640"/>
        <w:rPr>
          <w:rFonts w:ascii="仿宋_GB2312" w:eastAsia="仿宋_GB2312" w:cs="仿宋_GB2312"/>
          <w:sz w:val="32"/>
          <w:szCs w:val="32"/>
        </w:rPr>
      </w:pPr>
      <w:r>
        <w:rPr>
          <w:rFonts w:hint="eastAsia" w:ascii="黑体" w:hAnsi="宋体" w:eastAsia="黑体" w:cs="黑体"/>
          <w:sz w:val="32"/>
          <w:szCs w:val="32"/>
        </w:rPr>
        <w:t>第一条</w:t>
      </w:r>
      <w:r>
        <w:rPr>
          <w:rFonts w:hint="eastAsia" w:ascii="仿宋_GB2312" w:eastAsia="仿宋_GB2312" w:cs="仿宋_GB2312"/>
          <w:sz w:val="32"/>
          <w:szCs w:val="32"/>
        </w:rPr>
        <w:t xml:space="preserve"> 为规范</w:t>
      </w:r>
      <w:r>
        <w:rPr>
          <w:rFonts w:hint="eastAsia" w:ascii="仿宋_GB2312" w:eastAsia="仿宋_GB2312" w:cs="仿宋_GB2312"/>
          <w:sz w:val="32"/>
          <w:szCs w:val="32"/>
          <w:lang w:eastAsia="zh-CN"/>
        </w:rPr>
        <w:t>和加强</w:t>
      </w:r>
      <w:r>
        <w:rPr>
          <w:rFonts w:hint="eastAsia" w:ascii="仿宋_GB2312" w:eastAsia="仿宋_GB2312" w:cs="仿宋_GB2312"/>
          <w:sz w:val="32"/>
          <w:szCs w:val="32"/>
        </w:rPr>
        <w:t>科技馆免费开放补助资金（为一般性转移支付资金</w:t>
      </w:r>
      <w:r>
        <w:rPr>
          <w:rFonts w:hint="eastAsia" w:ascii="仿宋_GB2312" w:eastAsia="仿宋_GB2312" w:cs="仿宋_GB2312"/>
          <w:sz w:val="32"/>
          <w:szCs w:val="32"/>
          <w:lang w:eastAsia="zh-CN"/>
        </w:rPr>
        <w:t>，</w:t>
      </w:r>
      <w:r>
        <w:rPr>
          <w:rFonts w:hint="eastAsia" w:ascii="仿宋_GB2312" w:eastAsia="仿宋_GB2312" w:cs="仿宋_GB2312"/>
          <w:sz w:val="32"/>
          <w:szCs w:val="32"/>
        </w:rPr>
        <w:t>以下称补助资金）管理，提高资金使用效益，根据《中华人民共和国预算法》及其实施条例</w:t>
      </w:r>
      <w:r>
        <w:rPr>
          <w:rFonts w:hint="eastAsia" w:ascii="仿宋_GB2312" w:eastAsia="仿宋_GB2312" w:cs="仿宋_GB2312"/>
          <w:sz w:val="32"/>
          <w:szCs w:val="32"/>
          <w:lang w:eastAsia="zh-CN"/>
        </w:rPr>
        <w:t>、</w:t>
      </w:r>
      <w:r>
        <w:rPr>
          <w:rFonts w:hint="eastAsia" w:ascii="仿宋_GB2312" w:eastAsia="仿宋_GB2312" w:cs="仿宋_GB2312"/>
          <w:sz w:val="32"/>
          <w:szCs w:val="32"/>
        </w:rPr>
        <w:t>《中共中央 国务院关于全面实施预算绩效管理的意见》</w:t>
      </w:r>
      <w:r>
        <w:rPr>
          <w:rFonts w:hint="eastAsia" w:ascii="仿宋_GB2312" w:eastAsia="仿宋_GB2312" w:cs="仿宋_GB2312"/>
          <w:sz w:val="32"/>
          <w:szCs w:val="32"/>
          <w:lang w:eastAsia="zh-CN"/>
        </w:rPr>
        <w:t>、</w:t>
      </w:r>
      <w:r>
        <w:rPr>
          <w:rFonts w:hint="eastAsia" w:ascii="仿宋_GB2312" w:eastAsia="仿宋_GB2312" w:cs="仿宋_GB2312"/>
          <w:sz w:val="32"/>
          <w:szCs w:val="32"/>
        </w:rPr>
        <w:t>《中国科协</w:t>
      </w:r>
      <w:r>
        <w:rPr>
          <w:rFonts w:hint="eastAsia" w:ascii="仿宋_GB2312" w:eastAsia="仿宋_GB2312" w:cs="仿宋_GB2312"/>
          <w:sz w:val="32"/>
          <w:szCs w:val="32"/>
          <w:lang w:eastAsia="zh-CN"/>
        </w:rPr>
        <w:t>、</w:t>
      </w:r>
      <w:r>
        <w:rPr>
          <w:rFonts w:hint="eastAsia" w:ascii="仿宋_GB2312" w:eastAsia="仿宋_GB2312" w:cs="仿宋_GB2312"/>
          <w:sz w:val="32"/>
          <w:szCs w:val="32"/>
        </w:rPr>
        <w:t>中宣部</w:t>
      </w:r>
      <w:r>
        <w:rPr>
          <w:rFonts w:hint="eastAsia" w:ascii="仿宋_GB2312" w:eastAsia="仿宋_GB2312" w:cs="仿宋_GB2312"/>
          <w:sz w:val="32"/>
          <w:szCs w:val="32"/>
          <w:lang w:eastAsia="zh-CN"/>
        </w:rPr>
        <w:t>、</w:t>
      </w:r>
      <w:r>
        <w:rPr>
          <w:rFonts w:hint="eastAsia" w:ascii="仿宋_GB2312" w:eastAsia="仿宋_GB2312" w:cs="仿宋_GB2312"/>
          <w:sz w:val="32"/>
          <w:szCs w:val="32"/>
        </w:rPr>
        <w:t>财政部关于全国科技馆免费开放的通知》（科协发普字〔2015〕20号）等有关法律法规和政策规定，制定本办法。</w:t>
      </w:r>
    </w:p>
    <w:p>
      <w:pPr>
        <w:pStyle w:val="6"/>
        <w:widowControl/>
        <w:spacing w:line="620" w:lineRule="exact"/>
        <w:ind w:firstLine="640"/>
        <w:rPr>
          <w:rStyle w:val="13"/>
          <w:rFonts w:hint="eastAsia" w:ascii="仿宋_GB2312" w:hAnsi="仿宋_GB2312" w:eastAsia="仿宋_GB2312" w:cs="仿宋_GB2312"/>
          <w:sz w:val="32"/>
          <w:szCs w:val="32"/>
        </w:rPr>
      </w:pPr>
      <w:r>
        <w:rPr>
          <w:rFonts w:hint="eastAsia" w:ascii="黑体" w:hAnsi="宋体" w:eastAsia="黑体" w:cs="黑体"/>
          <w:sz w:val="32"/>
          <w:szCs w:val="32"/>
        </w:rPr>
        <w:t>第二条</w:t>
      </w:r>
      <w:r>
        <w:rPr>
          <w:rFonts w:hint="eastAsia" w:ascii="仿宋_GB2312" w:eastAsia="仿宋_GB2312" w:cs="仿宋_GB2312"/>
          <w:sz w:val="32"/>
          <w:szCs w:val="32"/>
        </w:rPr>
        <w:t xml:space="preserve"> 中央财政设立补助资金，对</w:t>
      </w:r>
      <w:r>
        <w:rPr>
          <w:rStyle w:val="13"/>
          <w:rFonts w:hint="eastAsia" w:ascii="仿宋_GB2312" w:hAnsi="仿宋_GB2312" w:eastAsia="仿宋_GB2312" w:cs="仿宋_GB2312"/>
          <w:sz w:val="32"/>
          <w:szCs w:val="32"/>
        </w:rPr>
        <w:t>具备基本常设展览和教育活动条件，</w:t>
      </w:r>
      <w:r>
        <w:rPr>
          <w:rStyle w:val="13"/>
          <w:rFonts w:hint="eastAsia" w:ascii="仿宋_GB2312" w:hAnsi="仿宋_GB2312" w:eastAsia="仿宋_GB2312" w:cs="仿宋_GB2312"/>
          <w:sz w:val="32"/>
          <w:szCs w:val="32"/>
          <w:lang w:val="en-US" w:eastAsia="zh-CN"/>
        </w:rPr>
        <w:t>满足</w:t>
      </w:r>
      <w:r>
        <w:rPr>
          <w:rStyle w:val="13"/>
          <w:rFonts w:hint="eastAsia" w:ascii="仿宋_GB2312" w:hAnsi="仿宋_GB2312" w:eastAsia="仿宋_GB2312" w:cs="仿宋_GB2312"/>
          <w:sz w:val="32"/>
          <w:szCs w:val="32"/>
        </w:rPr>
        <w:t>正常开展科普工作等要求，且</w:t>
      </w:r>
      <w:r>
        <w:rPr>
          <w:rFonts w:hint="eastAsia" w:ascii="仿宋_GB2312" w:eastAsia="仿宋_GB2312" w:cs="仿宋_GB2312"/>
          <w:sz w:val="32"/>
          <w:szCs w:val="32"/>
        </w:rPr>
        <w:t>纳入</w:t>
      </w:r>
      <w:r>
        <w:rPr>
          <w:rStyle w:val="13"/>
          <w:rFonts w:hint="eastAsia" w:ascii="仿宋_GB2312" w:hAnsi="仿宋_GB2312" w:eastAsia="仿宋_GB2312" w:cs="仿宋_GB2312"/>
          <w:sz w:val="32"/>
          <w:szCs w:val="32"/>
        </w:rPr>
        <w:t>免费开放实施范围的</w:t>
      </w:r>
      <w:r>
        <w:rPr>
          <w:rStyle w:val="13"/>
          <w:rFonts w:hint="eastAsia" w:ascii="仿宋_GB2312" w:hAnsi="仿宋_GB2312" w:eastAsia="仿宋_GB2312" w:cs="仿宋_GB2312"/>
          <w:sz w:val="32"/>
          <w:szCs w:val="32"/>
          <w:lang w:eastAsia="zh-CN"/>
        </w:rPr>
        <w:t>科协系统</w:t>
      </w:r>
      <w:r>
        <w:rPr>
          <w:rStyle w:val="13"/>
          <w:rFonts w:hint="eastAsia" w:ascii="仿宋_GB2312" w:hAnsi="仿宋_GB2312" w:eastAsia="仿宋_GB2312" w:cs="仿宋_GB2312"/>
          <w:sz w:val="32"/>
          <w:szCs w:val="32"/>
        </w:rPr>
        <w:t>公益性科技馆进行补助，用于支持和鼓励科技馆开展与自身功能相适应的基本科普公共服务。</w:t>
      </w:r>
    </w:p>
    <w:p>
      <w:pPr>
        <w:pStyle w:val="6"/>
        <w:widowControl/>
        <w:spacing w:line="620" w:lineRule="exact"/>
        <w:ind w:firstLine="640"/>
        <w:rPr>
          <w:rFonts w:ascii="仿宋_GB2312" w:eastAsia="仿宋_GB2312" w:cs="仿宋_GB2312"/>
          <w:sz w:val="32"/>
          <w:szCs w:val="32"/>
        </w:rPr>
      </w:pPr>
      <w:r>
        <w:rPr>
          <w:rFonts w:hint="eastAsia" w:ascii="黑体" w:hAnsi="宋体" w:eastAsia="黑体" w:cs="黑体"/>
          <w:sz w:val="32"/>
          <w:szCs w:val="32"/>
        </w:rPr>
        <w:t>第三条</w:t>
      </w:r>
      <w:r>
        <w:rPr>
          <w:rFonts w:hint="eastAsia" w:ascii="仿宋_GB2312" w:eastAsia="仿宋_GB2312" w:cs="仿宋_GB2312"/>
          <w:sz w:val="32"/>
          <w:szCs w:val="32"/>
        </w:rPr>
        <w:t xml:space="preserve"> 补助资金的管理和使用坚持“统筹安排、分级管理、分级负责、注重绩效”的原则。</w:t>
      </w:r>
    </w:p>
    <w:p>
      <w:pPr>
        <w:pStyle w:val="6"/>
        <w:widowControl/>
        <w:spacing w:line="620" w:lineRule="exact"/>
        <w:ind w:firstLine="640"/>
        <w:rPr>
          <w:rFonts w:ascii="仿宋_GB2312" w:eastAsia="仿宋_GB2312" w:cs="仿宋_GB2312"/>
          <w:sz w:val="32"/>
          <w:szCs w:val="32"/>
        </w:rPr>
      </w:pPr>
      <w:r>
        <w:rPr>
          <w:rFonts w:hint="eastAsia" w:ascii="黑体" w:hAnsi="宋体" w:eastAsia="黑体" w:cs="黑体"/>
          <w:sz w:val="32"/>
          <w:szCs w:val="32"/>
        </w:rPr>
        <w:t>第四条</w:t>
      </w:r>
      <w:r>
        <w:rPr>
          <w:rFonts w:hint="eastAsia" w:ascii="仿宋_GB2312" w:eastAsia="仿宋_GB2312" w:cs="仿宋_GB2312"/>
          <w:sz w:val="32"/>
          <w:szCs w:val="32"/>
        </w:rPr>
        <w:t xml:space="preserve"> 补助资金由财政部会同中国科协管理。</w:t>
      </w:r>
    </w:p>
    <w:p>
      <w:pPr>
        <w:pStyle w:val="6"/>
        <w:widowControl/>
        <w:spacing w:line="620" w:lineRule="exact"/>
        <w:ind w:firstLine="640"/>
        <w:rPr>
          <w:rFonts w:ascii="仿宋_GB2312" w:eastAsia="仿宋_GB2312" w:cs="仿宋_GB2312"/>
          <w:sz w:val="32"/>
          <w:szCs w:val="32"/>
        </w:rPr>
      </w:pPr>
      <w:r>
        <w:rPr>
          <w:rFonts w:hint="eastAsia" w:ascii="仿宋_GB2312" w:eastAsia="仿宋_GB2312" w:cs="仿宋_GB2312"/>
          <w:sz w:val="32"/>
          <w:szCs w:val="32"/>
        </w:rPr>
        <w:t>财政部负责确定补助资金分配原则、分配标准，根据财力可能、实际需求等统筹确定补助资金年度预算规模，审核补助资金分配建议方案并下达预算，指导地方预算管理</w:t>
      </w:r>
      <w:r>
        <w:rPr>
          <w:rFonts w:hint="eastAsia" w:ascii="仿宋_GB2312" w:eastAsia="仿宋_GB2312" w:cs="仿宋_GB2312"/>
          <w:sz w:val="32"/>
          <w:szCs w:val="32"/>
          <w:lang w:eastAsia="zh-CN"/>
        </w:rPr>
        <w:t>，组织、指导和实施全过程预算绩效管理</w:t>
      </w:r>
      <w:r>
        <w:rPr>
          <w:rFonts w:hint="eastAsia" w:ascii="仿宋_GB2312" w:eastAsia="仿宋_GB2312" w:cs="仿宋_GB2312"/>
          <w:sz w:val="32"/>
          <w:szCs w:val="32"/>
        </w:rPr>
        <w:t>等工作。</w:t>
      </w:r>
    </w:p>
    <w:p>
      <w:pPr>
        <w:pStyle w:val="6"/>
        <w:widowControl/>
        <w:spacing w:line="620" w:lineRule="exact"/>
        <w:ind w:firstLine="640"/>
        <w:rPr>
          <w:rFonts w:ascii="仿宋_GB2312" w:eastAsia="仿宋_GB2312" w:cs="仿宋_GB2312"/>
          <w:sz w:val="32"/>
          <w:szCs w:val="32"/>
        </w:rPr>
      </w:pPr>
      <w:r>
        <w:rPr>
          <w:rFonts w:hint="eastAsia" w:ascii="仿宋_GB2312" w:eastAsia="仿宋_GB2312" w:cs="仿宋_GB2312"/>
          <w:sz w:val="32"/>
          <w:szCs w:val="32"/>
        </w:rPr>
        <w:t>中国科协负责审核地方相关材料和数据，提供资金测算需要的基础数据，提出资金需求测算方案和分配建议，</w:t>
      </w:r>
      <w:r>
        <w:rPr>
          <w:rFonts w:hint="eastAsia" w:ascii="仿宋_GB2312" w:eastAsia="仿宋_GB2312" w:cs="仿宋_GB2312"/>
          <w:sz w:val="32"/>
          <w:szCs w:val="32"/>
          <w:lang w:eastAsia="zh-CN"/>
        </w:rPr>
        <w:t>按规定</w:t>
      </w:r>
      <w:r>
        <w:rPr>
          <w:rFonts w:hint="eastAsia" w:ascii="仿宋_GB2312" w:eastAsia="仿宋_GB2312" w:cs="仿宋_GB2312"/>
          <w:sz w:val="32"/>
          <w:szCs w:val="32"/>
        </w:rPr>
        <w:t>开展</w:t>
      </w:r>
      <w:r>
        <w:rPr>
          <w:rFonts w:hint="eastAsia" w:ascii="仿宋_GB2312" w:eastAsia="仿宋_GB2312" w:cs="仿宋_GB2312"/>
          <w:sz w:val="32"/>
          <w:szCs w:val="32"/>
          <w:lang w:eastAsia="zh-CN"/>
        </w:rPr>
        <w:t>预算</w:t>
      </w:r>
      <w:r>
        <w:rPr>
          <w:rFonts w:hint="eastAsia" w:ascii="仿宋_GB2312" w:eastAsia="仿宋_GB2312" w:cs="仿宋_GB2312"/>
          <w:sz w:val="32"/>
          <w:szCs w:val="32"/>
        </w:rPr>
        <w:t>绩效管理</w:t>
      </w:r>
      <w:r>
        <w:rPr>
          <w:rFonts w:hint="eastAsia" w:ascii="仿宋_GB2312" w:eastAsia="仿宋_GB2312" w:cs="仿宋_GB2312"/>
          <w:sz w:val="32"/>
          <w:szCs w:val="32"/>
          <w:lang w:eastAsia="zh-CN"/>
        </w:rPr>
        <w:t>和</w:t>
      </w:r>
      <w:r>
        <w:rPr>
          <w:rFonts w:hint="eastAsia" w:ascii="仿宋_GB2312" w:eastAsia="仿宋_GB2312" w:cs="仿宋_GB2312"/>
          <w:sz w:val="32"/>
          <w:szCs w:val="32"/>
        </w:rPr>
        <w:t>日常监管</w:t>
      </w:r>
      <w:r>
        <w:rPr>
          <w:rFonts w:hint="eastAsia" w:ascii="仿宋_GB2312" w:eastAsia="仿宋_GB2312" w:cs="仿宋_GB2312"/>
          <w:sz w:val="32"/>
          <w:szCs w:val="32"/>
          <w:lang w:eastAsia="zh-CN"/>
        </w:rPr>
        <w:t>等工作</w:t>
      </w:r>
      <w:r>
        <w:rPr>
          <w:rFonts w:hint="eastAsia" w:ascii="仿宋_GB2312" w:eastAsia="仿宋_GB2312" w:cs="仿宋_GB2312"/>
          <w:sz w:val="32"/>
          <w:szCs w:val="32"/>
        </w:rPr>
        <w:t>，督促和指导地方做好资金使用管理等。</w:t>
      </w:r>
    </w:p>
    <w:p>
      <w:pPr>
        <w:pStyle w:val="6"/>
        <w:widowControl/>
        <w:spacing w:line="620" w:lineRule="exact"/>
        <w:ind w:firstLine="640"/>
        <w:rPr>
          <w:rFonts w:ascii="仿宋_GB2312" w:eastAsia="仿宋_GB2312" w:cs="仿宋_GB2312"/>
          <w:sz w:val="32"/>
          <w:szCs w:val="32"/>
        </w:rPr>
      </w:pPr>
      <w:r>
        <w:rPr>
          <w:rFonts w:hint="eastAsia" w:ascii="仿宋_GB2312" w:eastAsia="仿宋_GB2312" w:cs="仿宋_GB2312"/>
          <w:sz w:val="32"/>
          <w:szCs w:val="32"/>
        </w:rPr>
        <w:t>省级财政部门和科协，应明确省级及以下各级财政部门和科协在基础数据审核、资金使用、</w:t>
      </w:r>
      <w:r>
        <w:rPr>
          <w:rFonts w:hint="eastAsia" w:ascii="仿宋_GB2312" w:eastAsia="仿宋_GB2312" w:cs="仿宋_GB2312"/>
          <w:sz w:val="32"/>
          <w:szCs w:val="32"/>
          <w:lang w:eastAsia="zh-CN"/>
        </w:rPr>
        <w:t>预算</w:t>
      </w:r>
      <w:r>
        <w:rPr>
          <w:rFonts w:hint="eastAsia" w:ascii="仿宋_GB2312" w:eastAsia="仿宋_GB2312" w:cs="仿宋_GB2312"/>
          <w:sz w:val="32"/>
          <w:szCs w:val="32"/>
        </w:rPr>
        <w:t>绩效管理等方面的责任，切实加强资金管理。</w:t>
      </w:r>
    </w:p>
    <w:p>
      <w:pPr>
        <w:pStyle w:val="6"/>
        <w:widowControl/>
        <w:adjustRightInd w:val="0"/>
        <w:spacing w:line="620" w:lineRule="exact"/>
        <w:ind w:firstLine="640"/>
        <w:rPr>
          <w:rFonts w:ascii="仿宋_GB2312" w:eastAsia="仿宋_GB2312" w:cs="仿宋_GB2312"/>
          <w:sz w:val="32"/>
          <w:szCs w:val="32"/>
        </w:rPr>
      </w:pPr>
      <w:r>
        <w:rPr>
          <w:rFonts w:hint="eastAsia" w:ascii="黑体" w:hAnsi="宋体" w:eastAsia="黑体" w:cs="黑体"/>
          <w:sz w:val="32"/>
          <w:szCs w:val="32"/>
        </w:rPr>
        <w:t>第五条</w:t>
      </w:r>
      <w:r>
        <w:rPr>
          <w:rFonts w:hint="eastAsia" w:ascii="仿宋_GB2312" w:eastAsia="仿宋_GB2312" w:cs="仿宋_GB2312"/>
          <w:sz w:val="32"/>
          <w:szCs w:val="32"/>
        </w:rPr>
        <w:t xml:space="preserve"> 补助资金的管理和使用严格执行国家法律法规和财务规章制度，并接受财政、审计、科协等部门的监督。</w:t>
      </w:r>
    </w:p>
    <w:p>
      <w:pPr>
        <w:pStyle w:val="6"/>
        <w:widowControl/>
        <w:adjustRightInd w:val="0"/>
        <w:spacing w:line="620" w:lineRule="exact"/>
        <w:ind w:firstLine="0" w:firstLineChars="0"/>
        <w:jc w:val="center"/>
        <w:rPr>
          <w:rFonts w:hint="eastAsia" w:ascii="黑体" w:eastAsia="黑体" w:cs="黑体"/>
          <w:sz w:val="32"/>
          <w:szCs w:val="32"/>
        </w:rPr>
      </w:pPr>
    </w:p>
    <w:p>
      <w:pPr>
        <w:pStyle w:val="6"/>
        <w:widowControl/>
        <w:adjustRightInd w:val="0"/>
        <w:spacing w:line="620" w:lineRule="exact"/>
        <w:ind w:firstLine="0" w:firstLineChars="0"/>
        <w:jc w:val="center"/>
        <w:rPr>
          <w:rFonts w:ascii="黑体" w:eastAsia="黑体" w:cs="黑体"/>
          <w:sz w:val="32"/>
          <w:szCs w:val="32"/>
        </w:rPr>
      </w:pPr>
      <w:r>
        <w:rPr>
          <w:rFonts w:hint="eastAsia" w:ascii="黑体" w:eastAsia="黑体" w:cs="黑体"/>
          <w:sz w:val="32"/>
          <w:szCs w:val="32"/>
        </w:rPr>
        <w:t>第二章  补助范围、支出内容与分配方式</w:t>
      </w:r>
    </w:p>
    <w:p>
      <w:pPr>
        <w:pStyle w:val="6"/>
        <w:widowControl/>
        <w:adjustRightInd w:val="0"/>
        <w:spacing w:line="620" w:lineRule="exact"/>
        <w:ind w:firstLine="640"/>
        <w:rPr>
          <w:rFonts w:ascii="仿宋_GB2312" w:eastAsia="仿宋_GB2312" w:cs="仿宋_GB2312"/>
          <w:sz w:val="32"/>
          <w:szCs w:val="32"/>
        </w:rPr>
      </w:pPr>
      <w:r>
        <w:rPr>
          <w:rFonts w:hint="eastAsia" w:ascii="黑体" w:hAnsi="宋体" w:eastAsia="黑体" w:cs="黑体"/>
          <w:sz w:val="32"/>
          <w:szCs w:val="32"/>
        </w:rPr>
        <w:t>第六条</w:t>
      </w:r>
      <w:r>
        <w:rPr>
          <w:rFonts w:hint="eastAsia" w:ascii="仿宋_GB2312" w:eastAsia="仿宋_GB2312" w:cs="仿宋_GB2312"/>
          <w:sz w:val="32"/>
          <w:szCs w:val="32"/>
        </w:rPr>
        <w:t xml:space="preserve"> 补助资金由地方统筹用于以下方面：</w:t>
      </w:r>
    </w:p>
    <w:p>
      <w:pPr>
        <w:pStyle w:val="6"/>
        <w:widowControl/>
        <w:numPr>
          <w:ilvl w:val="0"/>
          <w:numId w:val="1"/>
        </w:numPr>
        <w:adjustRightInd w:val="0"/>
        <w:spacing w:line="620" w:lineRule="exact"/>
        <w:ind w:firstLine="640" w:firstLineChars="0"/>
        <w:rPr>
          <w:rFonts w:ascii="仿宋_GB2312" w:eastAsia="仿宋_GB2312" w:cs="仿宋_GB2312"/>
          <w:bCs/>
          <w:sz w:val="32"/>
          <w:szCs w:val="32"/>
        </w:rPr>
      </w:pPr>
      <w:r>
        <w:rPr>
          <w:rFonts w:hint="eastAsia" w:ascii="仿宋_GB2312" w:eastAsia="仿宋_GB2312" w:cs="仿宋_GB2312"/>
          <w:bCs/>
          <w:sz w:val="32"/>
          <w:szCs w:val="32"/>
        </w:rPr>
        <w:t>运行保障</w:t>
      </w:r>
      <w:r>
        <w:rPr>
          <w:rFonts w:hint="eastAsia" w:ascii="仿宋_GB2312" w:eastAsia="仿宋_GB2312" w:cs="仿宋_GB2312"/>
          <w:bCs/>
          <w:sz w:val="32"/>
          <w:szCs w:val="32"/>
          <w:lang w:eastAsia="zh-CN"/>
        </w:rPr>
        <w:t>，</w:t>
      </w:r>
      <w:r>
        <w:rPr>
          <w:rFonts w:hint="eastAsia" w:ascii="仿宋_GB2312" w:eastAsia="仿宋_GB2312" w:cs="仿宋_GB2312"/>
          <w:sz w:val="32"/>
          <w:szCs w:val="32"/>
        </w:rPr>
        <w:t>包括科技馆正常运转、举办展览、开展公益性科学教育活动、</w:t>
      </w:r>
      <w:r>
        <w:rPr>
          <w:rFonts w:hint="eastAsia" w:ascii="仿宋_GB2312" w:eastAsia="仿宋_GB2312" w:cs="仿宋_GB2312"/>
          <w:bCs/>
          <w:sz w:val="32"/>
          <w:szCs w:val="32"/>
        </w:rPr>
        <w:t>人才培养等。</w:t>
      </w:r>
    </w:p>
    <w:p>
      <w:pPr>
        <w:pStyle w:val="6"/>
        <w:widowControl/>
        <w:numPr>
          <w:ilvl w:val="0"/>
          <w:numId w:val="2"/>
        </w:numPr>
        <w:spacing w:line="620" w:lineRule="exact"/>
        <w:ind w:firstLine="640" w:firstLineChars="0"/>
        <w:rPr>
          <w:rFonts w:ascii="仿宋_GB2312" w:eastAsia="仿宋_GB2312" w:cs="仿宋_GB2312"/>
          <w:bCs/>
          <w:sz w:val="32"/>
          <w:szCs w:val="32"/>
        </w:rPr>
      </w:pPr>
      <w:r>
        <w:rPr>
          <w:rFonts w:hint="eastAsia" w:ascii="仿宋_GB2312" w:eastAsia="仿宋_GB2312" w:cs="仿宋_GB2312"/>
          <w:bCs/>
          <w:sz w:val="32"/>
          <w:szCs w:val="32"/>
        </w:rPr>
        <w:t>展览展品的研发、维护、更新等。</w:t>
      </w:r>
    </w:p>
    <w:p>
      <w:pPr>
        <w:pStyle w:val="6"/>
        <w:widowControl/>
        <w:spacing w:line="620" w:lineRule="exact"/>
        <w:ind w:firstLine="640"/>
        <w:rPr>
          <w:rFonts w:ascii="仿宋_GB2312" w:eastAsia="仿宋_GB2312" w:cs="仿宋_GB2312"/>
          <w:b/>
        </w:rPr>
      </w:pPr>
      <w:r>
        <w:rPr>
          <w:rFonts w:hint="eastAsia" w:ascii="仿宋_GB2312" w:eastAsia="仿宋_GB2312" w:cs="仿宋_GB2312"/>
          <w:bCs/>
          <w:sz w:val="32"/>
          <w:szCs w:val="32"/>
        </w:rPr>
        <w:t>（三）自主开展的面向基层公众的流动科普服务。</w:t>
      </w:r>
    </w:p>
    <w:p>
      <w:pPr>
        <w:pStyle w:val="6"/>
        <w:widowControl/>
        <w:shd w:val="solid" w:color="FFFFFF" w:fill="auto"/>
        <w:autoSpaceDN w:val="0"/>
        <w:spacing w:line="620" w:lineRule="exact"/>
        <w:ind w:firstLine="640" w:firstLineChars="0"/>
        <w:rPr>
          <w:rFonts w:ascii="仿宋_GB2312" w:hAnsi="仿宋_GB2312" w:eastAsia="仿宋_GB2312" w:cs="仿宋_GB2312"/>
          <w:bCs/>
          <w:color w:val="000000"/>
          <w:sz w:val="32"/>
          <w:szCs w:val="32"/>
          <w:shd w:val="clear" w:color="auto" w:fill="FFFFFF"/>
        </w:rPr>
      </w:pPr>
      <w:r>
        <w:rPr>
          <w:rFonts w:hint="eastAsia" w:ascii="仿宋_GB2312" w:eastAsia="仿宋_GB2312" w:cs="仿宋_GB2312"/>
          <w:bCs/>
          <w:sz w:val="32"/>
          <w:szCs w:val="32"/>
          <w:shd w:val="solid" w:color="FFFFFF" w:fill="auto"/>
        </w:rPr>
        <w:t>（四）数字科技馆和展教资源数字化建设、</w:t>
      </w:r>
      <w:r>
        <w:rPr>
          <w:rFonts w:hint="eastAsia" w:ascii="仿宋_GB2312" w:eastAsia="仿宋_GB2312" w:cs="仿宋_GB2312"/>
          <w:bCs/>
          <w:sz w:val="32"/>
          <w:szCs w:val="32"/>
          <w:shd w:val="solid" w:color="FFFFFF" w:fill="auto"/>
          <w:lang w:eastAsia="zh-CN"/>
        </w:rPr>
        <w:t>网络</w:t>
      </w:r>
      <w:r>
        <w:rPr>
          <w:rFonts w:hint="eastAsia" w:ascii="仿宋_GB2312" w:eastAsia="仿宋_GB2312" w:cs="仿宋_GB2312"/>
          <w:bCs/>
          <w:sz w:val="32"/>
          <w:szCs w:val="32"/>
          <w:shd w:val="solid" w:color="FFFFFF" w:fill="auto"/>
        </w:rPr>
        <w:t>科普</w:t>
      </w:r>
      <w:r>
        <w:rPr>
          <w:rFonts w:hint="eastAsia" w:ascii="仿宋_GB2312" w:eastAsia="仿宋_GB2312" w:cs="仿宋_GB2312"/>
          <w:bCs/>
          <w:sz w:val="32"/>
          <w:szCs w:val="32"/>
          <w:shd w:val="solid" w:color="FFFFFF" w:fill="auto"/>
          <w:lang w:eastAsia="zh-CN"/>
        </w:rPr>
        <w:t>服务、展品和设备共享共用</w:t>
      </w:r>
      <w:r>
        <w:rPr>
          <w:rFonts w:hint="eastAsia" w:ascii="仿宋_GB2312" w:eastAsia="仿宋_GB2312" w:cs="仿宋_GB2312"/>
          <w:bCs/>
          <w:sz w:val="32"/>
          <w:szCs w:val="32"/>
          <w:shd w:val="solid" w:color="FFFFFF" w:fill="auto"/>
        </w:rPr>
        <w:t>等相关支出。</w:t>
      </w:r>
    </w:p>
    <w:p>
      <w:pPr>
        <w:overflowPunct w:val="0"/>
        <w:spacing w:line="620" w:lineRule="exact"/>
        <w:ind w:firstLine="640" w:firstLineChars="200"/>
        <w:rPr>
          <w:rFonts w:ascii="仿宋_GB2312" w:eastAsia="仿宋_GB2312" w:cs="仿宋_GB2312"/>
          <w:sz w:val="32"/>
          <w:szCs w:val="32"/>
        </w:rPr>
      </w:pPr>
      <w:r>
        <w:rPr>
          <w:rFonts w:hint="eastAsia" w:ascii="仿宋_GB2312" w:hAnsi="Times New Roman" w:eastAsia="仿宋_GB2312" w:cs="仿宋_GB2312"/>
          <w:bCs/>
          <w:sz w:val="32"/>
          <w:szCs w:val="32"/>
          <w:lang w:bidi="ar"/>
        </w:rPr>
        <w:t>（五）</w:t>
      </w:r>
      <w:r>
        <w:rPr>
          <w:rFonts w:hint="eastAsia" w:ascii="仿宋_GB2312" w:hAnsi="Times New Roman" w:eastAsia="仿宋_GB2312" w:cs="仿宋_GB2312"/>
          <w:sz w:val="32"/>
          <w:szCs w:val="32"/>
          <w:lang w:bidi="ar"/>
        </w:rPr>
        <w:t>列支除上述支出项目之外的其他与科技馆运行工作直接相关的支出。其他支出应当符合相关管理规定。</w:t>
      </w:r>
    </w:p>
    <w:p>
      <w:pPr>
        <w:pStyle w:val="6"/>
        <w:widowControl/>
        <w:spacing w:line="620" w:lineRule="exact"/>
        <w:ind w:firstLine="640"/>
        <w:rPr>
          <w:rFonts w:ascii="仿宋_GB2312" w:hAnsi="仿宋_GB2312" w:eastAsia="仿宋_GB2312" w:cs="仿宋_GB2312"/>
          <w:color w:val="000000"/>
          <w:sz w:val="32"/>
          <w:szCs w:val="32"/>
          <w:shd w:val="clear" w:color="auto" w:fill="FFFFFF"/>
        </w:rPr>
      </w:pPr>
      <w:r>
        <w:rPr>
          <w:rFonts w:hint="eastAsia" w:ascii="黑体" w:hAnsi="宋体" w:eastAsia="黑体" w:cs="黑体"/>
          <w:sz w:val="32"/>
          <w:szCs w:val="32"/>
        </w:rPr>
        <w:t>第七条</w:t>
      </w:r>
      <w:r>
        <w:rPr>
          <w:rFonts w:hint="eastAsia" w:ascii="仿宋_GB2312" w:eastAsia="仿宋_GB2312" w:cs="仿宋_GB2312"/>
          <w:sz w:val="32"/>
          <w:szCs w:val="32"/>
        </w:rPr>
        <w:t xml:space="preserve"> </w:t>
      </w:r>
      <w:r>
        <w:rPr>
          <w:rFonts w:hint="eastAsia" w:ascii="仿宋_GB2312" w:hAnsi="仿宋_GB2312" w:eastAsia="仿宋_GB2312" w:cs="仿宋_GB2312"/>
          <w:color w:val="000000"/>
          <w:sz w:val="32"/>
          <w:szCs w:val="32"/>
          <w:shd w:val="clear" w:color="auto" w:fill="FFFFFF"/>
        </w:rPr>
        <w:t>补助资金不得用于科技馆基本建设、征地拆迁，不得用于支付各种罚款、捐款、赞助、投资、偿还债务等支出，不得用于行政事业单位编制内在职人员工资性支出和离退休人员离退休费。</w:t>
      </w:r>
    </w:p>
    <w:p>
      <w:pPr>
        <w:pStyle w:val="6"/>
        <w:widowControl/>
        <w:shd w:val="solid" w:color="FFFFFF" w:fill="auto"/>
        <w:autoSpaceDN w:val="0"/>
        <w:spacing w:line="620" w:lineRule="exact"/>
        <w:ind w:firstLine="640"/>
        <w:rPr>
          <w:rFonts w:ascii="仿宋_GB2312" w:hAnsi="仿宋_GB2312" w:eastAsia="仿宋_GB2312" w:cs="仿宋_GB2312"/>
          <w:color w:val="000000"/>
          <w:sz w:val="32"/>
          <w:szCs w:val="32"/>
          <w:shd w:val="clear" w:color="auto" w:fill="FFFFFF"/>
        </w:rPr>
      </w:pPr>
      <w:r>
        <w:rPr>
          <w:rFonts w:hint="eastAsia" w:ascii="黑体" w:hAnsi="宋体" w:eastAsia="黑体" w:cs="黑体"/>
          <w:sz w:val="32"/>
          <w:szCs w:val="32"/>
          <w:shd w:val="solid" w:color="FFFFFF" w:fill="auto"/>
        </w:rPr>
        <w:t>第八条</w:t>
      </w:r>
      <w:r>
        <w:rPr>
          <w:rFonts w:hint="eastAsia" w:ascii="仿宋_GB2312" w:eastAsia="仿宋_GB2312" w:cs="仿宋_GB2312"/>
          <w:sz w:val="32"/>
          <w:szCs w:val="32"/>
          <w:shd w:val="solid" w:color="FFFFFF" w:fill="auto"/>
        </w:rPr>
        <w:t xml:space="preserve"> </w:t>
      </w:r>
      <w:r>
        <w:rPr>
          <w:rFonts w:hint="eastAsia" w:ascii="仿宋_GB2312" w:hAnsi="仿宋_GB2312" w:eastAsia="仿宋_GB2312" w:cs="仿宋_GB2312"/>
          <w:color w:val="000000"/>
          <w:sz w:val="32"/>
          <w:szCs w:val="32"/>
          <w:shd w:val="clear" w:color="auto" w:fill="FFFFFF"/>
        </w:rPr>
        <w:t>补助资金采取因素法进行分配。分配因素包括基础因素（</w:t>
      </w:r>
      <w:r>
        <w:rPr>
          <w:rFonts w:ascii="仿宋_GB2312" w:hAnsi="仿宋_GB2312" w:eastAsia="仿宋_GB2312" w:cs="仿宋_GB2312"/>
          <w:color w:val="000000"/>
          <w:sz w:val="32"/>
          <w:szCs w:val="32"/>
          <w:shd w:val="clear" w:color="auto" w:fill="FFFFFF"/>
        </w:rPr>
        <w:t>60</w:t>
      </w:r>
      <w:r>
        <w:rPr>
          <w:rFonts w:hint="eastAsia" w:ascii="仿宋_GB2312" w:hAnsi="仿宋_GB2312" w:eastAsia="仿宋_GB2312" w:cs="仿宋_GB2312"/>
          <w:color w:val="000000"/>
          <w:sz w:val="32"/>
          <w:szCs w:val="32"/>
          <w:shd w:val="clear" w:color="auto" w:fill="FFFFFF"/>
        </w:rPr>
        <w:t>%）、科技馆业务</w:t>
      </w:r>
      <w:r>
        <w:rPr>
          <w:rFonts w:hint="eastAsia" w:ascii="仿宋_GB2312" w:hAnsi="仿宋_GB2312" w:eastAsia="仿宋_GB2312" w:cs="仿宋_GB2312"/>
          <w:color w:val="000000"/>
          <w:sz w:val="32"/>
          <w:szCs w:val="32"/>
          <w:shd w:val="clear" w:color="auto" w:fill="FFFFFF"/>
          <w:lang w:eastAsia="zh-CN"/>
        </w:rPr>
        <w:t>发展因素</w:t>
      </w:r>
      <w:r>
        <w:rPr>
          <w:rFonts w:hint="eastAsia" w:ascii="仿宋_GB2312" w:hAnsi="仿宋_GB2312" w:eastAsia="仿宋_GB2312" w:cs="仿宋_GB2312"/>
          <w:color w:val="000000"/>
          <w:sz w:val="32"/>
          <w:szCs w:val="32"/>
          <w:shd w:val="clear" w:color="auto" w:fill="FFFFFF"/>
        </w:rPr>
        <w:t>（3</w:t>
      </w:r>
      <w:r>
        <w:rPr>
          <w:rFonts w:ascii="仿宋_GB2312" w:hAnsi="仿宋_GB2312" w:eastAsia="仿宋_GB2312" w:cs="仿宋_GB2312"/>
          <w:color w:val="000000"/>
          <w:sz w:val="32"/>
          <w:szCs w:val="32"/>
          <w:shd w:val="clear" w:color="auto" w:fill="FFFFFF"/>
        </w:rPr>
        <w:t>0%</w:t>
      </w:r>
      <w:r>
        <w:rPr>
          <w:rFonts w:hint="eastAsia" w:ascii="仿宋_GB2312" w:hAnsi="仿宋_GB2312" w:eastAsia="仿宋_GB2312" w:cs="仿宋_GB2312"/>
          <w:color w:val="000000"/>
          <w:sz w:val="32"/>
          <w:szCs w:val="32"/>
          <w:shd w:val="clear" w:color="auto" w:fill="FFFFFF"/>
        </w:rPr>
        <w:t>）和政策任务因素（</w:t>
      </w:r>
      <w:r>
        <w:rPr>
          <w:rFonts w:ascii="仿宋_GB2312" w:hAnsi="仿宋_GB2312" w:eastAsia="仿宋_GB2312" w:cs="仿宋_GB2312"/>
          <w:color w:val="000000"/>
          <w:sz w:val="32"/>
          <w:szCs w:val="32"/>
          <w:shd w:val="clear" w:color="auto" w:fill="FFFFFF"/>
        </w:rPr>
        <w:t>10</w:t>
      </w:r>
      <w:r>
        <w:rPr>
          <w:rFonts w:hint="eastAsia" w:ascii="仿宋_GB2312" w:hAnsi="仿宋_GB2312" w:eastAsia="仿宋_GB2312" w:cs="仿宋_GB2312"/>
          <w:color w:val="000000"/>
          <w:sz w:val="32"/>
          <w:szCs w:val="32"/>
          <w:shd w:val="clear" w:color="auto" w:fill="FFFFFF"/>
        </w:rPr>
        <w:t>%）：</w:t>
      </w:r>
    </w:p>
    <w:p>
      <w:pPr>
        <w:pStyle w:val="6"/>
        <w:widowControl/>
        <w:shd w:val="solid" w:color="FFFFFF" w:fill="auto"/>
        <w:autoSpaceDN w:val="0"/>
        <w:spacing w:line="580" w:lineRule="exact"/>
        <w:ind w:firstLine="64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（一）基础因素，包括科技馆展览教育面积、年服务观众人次、展品更新</w:t>
      </w:r>
      <w:r>
        <w:rPr>
          <w:rFonts w:hint="eastAsia" w:ascii="仿宋_GB2312" w:hAnsi="仿宋_GB2312" w:eastAsia="仿宋_GB2312" w:cs="仿宋_GB2312"/>
          <w:color w:val="000000"/>
          <w:sz w:val="32"/>
          <w:szCs w:val="32"/>
          <w:shd w:val="clear" w:color="auto" w:fill="FFFFFF"/>
          <w:lang w:eastAsia="zh-CN"/>
        </w:rPr>
        <w:t>及维护数量</w:t>
      </w:r>
      <w:r>
        <w:rPr>
          <w:rFonts w:hint="eastAsia" w:ascii="仿宋_GB2312" w:hAnsi="仿宋_GB2312" w:eastAsia="仿宋_GB2312" w:cs="仿宋_GB2312"/>
          <w:color w:val="000000"/>
          <w:sz w:val="32"/>
          <w:szCs w:val="32"/>
          <w:shd w:val="clear" w:color="auto" w:fill="FFFFFF"/>
        </w:rPr>
        <w:t>等。</w:t>
      </w:r>
    </w:p>
    <w:p>
      <w:pPr>
        <w:pStyle w:val="6"/>
        <w:widowControl/>
        <w:shd w:val="solid" w:color="FFFFFF" w:fill="auto"/>
        <w:autoSpaceDN w:val="0"/>
        <w:spacing w:line="580" w:lineRule="exact"/>
        <w:ind w:firstLine="64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（二）科技馆业务</w:t>
      </w:r>
      <w:r>
        <w:rPr>
          <w:rFonts w:hint="eastAsia" w:ascii="仿宋_GB2312" w:hAnsi="仿宋_GB2312" w:eastAsia="仿宋_GB2312" w:cs="仿宋_GB2312"/>
          <w:color w:val="000000"/>
          <w:sz w:val="32"/>
          <w:szCs w:val="32"/>
          <w:shd w:val="clear" w:color="auto" w:fill="FFFFFF"/>
          <w:lang w:eastAsia="zh-CN"/>
        </w:rPr>
        <w:t>发展因素</w:t>
      </w:r>
      <w:r>
        <w:rPr>
          <w:rFonts w:hint="eastAsia" w:ascii="仿宋_GB2312" w:hAnsi="仿宋_GB2312" w:eastAsia="仿宋_GB2312" w:cs="仿宋_GB2312"/>
          <w:color w:val="000000"/>
          <w:sz w:val="32"/>
          <w:szCs w:val="32"/>
          <w:shd w:val="clear" w:color="auto" w:fill="FFFFFF"/>
        </w:rPr>
        <w:t>，包括教育活动</w:t>
      </w:r>
      <w:r>
        <w:rPr>
          <w:rFonts w:hint="eastAsia" w:ascii="仿宋_GB2312" w:hAnsi="仿宋_GB2312" w:eastAsia="仿宋_GB2312" w:cs="仿宋_GB2312"/>
          <w:color w:val="000000"/>
          <w:sz w:val="32"/>
          <w:szCs w:val="32"/>
          <w:shd w:val="clear" w:color="auto" w:fill="FFFFFF"/>
          <w:lang w:eastAsia="zh-CN"/>
        </w:rPr>
        <w:t>场次</w:t>
      </w:r>
      <w:r>
        <w:rPr>
          <w:rFonts w:hint="eastAsia" w:ascii="仿宋_GB2312" w:hAnsi="仿宋_GB2312" w:eastAsia="仿宋_GB2312" w:cs="仿宋_GB2312"/>
          <w:color w:val="000000"/>
          <w:sz w:val="32"/>
          <w:szCs w:val="32"/>
          <w:shd w:val="clear" w:color="auto" w:fill="FFFFFF"/>
        </w:rPr>
        <w:t>、短期展览</w:t>
      </w:r>
      <w:r>
        <w:rPr>
          <w:rFonts w:hint="eastAsia" w:ascii="仿宋_GB2312" w:hAnsi="仿宋_GB2312" w:eastAsia="仿宋_GB2312" w:cs="仿宋_GB2312"/>
          <w:color w:val="000000"/>
          <w:sz w:val="32"/>
          <w:szCs w:val="32"/>
          <w:shd w:val="clear" w:color="auto" w:fill="FFFFFF"/>
          <w:lang w:eastAsia="zh-CN"/>
        </w:rPr>
        <w:t>数量</w:t>
      </w:r>
      <w:r>
        <w:rPr>
          <w:rFonts w:hint="eastAsia" w:ascii="仿宋_GB2312" w:hAnsi="仿宋_GB2312" w:eastAsia="仿宋_GB2312" w:cs="仿宋_GB2312"/>
          <w:color w:val="000000"/>
          <w:sz w:val="32"/>
          <w:szCs w:val="32"/>
          <w:shd w:val="clear" w:color="auto" w:fill="FFFFFF"/>
        </w:rPr>
        <w:t>、网络科普</w:t>
      </w:r>
      <w:r>
        <w:rPr>
          <w:rFonts w:hint="eastAsia" w:ascii="仿宋_GB2312" w:hAnsi="仿宋_GB2312" w:eastAsia="仿宋_GB2312" w:cs="仿宋_GB2312"/>
          <w:color w:val="000000"/>
          <w:sz w:val="32"/>
          <w:szCs w:val="32"/>
          <w:shd w:val="clear" w:color="auto" w:fill="FFFFFF"/>
          <w:lang w:eastAsia="zh-CN"/>
        </w:rPr>
        <w:t>资源浏览量</w:t>
      </w:r>
      <w:r>
        <w:rPr>
          <w:rFonts w:hint="eastAsia" w:ascii="仿宋_GB2312" w:hAnsi="仿宋_GB2312" w:eastAsia="仿宋_GB2312" w:cs="仿宋_GB2312"/>
          <w:color w:val="000000"/>
          <w:sz w:val="32"/>
          <w:szCs w:val="32"/>
          <w:shd w:val="clear" w:color="auto" w:fill="FFFFFF"/>
        </w:rPr>
        <w:t>等。</w:t>
      </w:r>
    </w:p>
    <w:p>
      <w:pPr>
        <w:pStyle w:val="6"/>
        <w:widowControl/>
        <w:shd w:val="solid" w:color="FFFFFF" w:fill="auto"/>
        <w:autoSpaceDN w:val="0"/>
        <w:spacing w:line="580" w:lineRule="exact"/>
        <w:ind w:firstLine="64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（三）政策任务因素，主要</w:t>
      </w:r>
      <w:r>
        <w:rPr>
          <w:rFonts w:hint="eastAsia" w:ascii="仿宋_GB2312" w:hAnsi="仿宋_GB2312" w:eastAsia="仿宋_GB2312" w:cs="仿宋_GB2312"/>
          <w:color w:val="000000"/>
          <w:sz w:val="32"/>
          <w:szCs w:val="32"/>
          <w:shd w:val="clear" w:color="auto" w:fill="FFFFFF"/>
          <w:lang w:eastAsia="zh-CN"/>
        </w:rPr>
        <w:t>包括党中央、国务院明确要求的科技馆建设重点任务、</w:t>
      </w:r>
      <w:r>
        <w:rPr>
          <w:rFonts w:hint="eastAsia" w:ascii="仿宋_GB2312" w:hAnsi="仿宋_GB2312" w:eastAsia="仿宋_GB2312" w:cs="仿宋_GB2312"/>
          <w:color w:val="000000"/>
          <w:sz w:val="32"/>
          <w:szCs w:val="32"/>
          <w:shd w:val="clear" w:color="auto" w:fill="FFFFFF"/>
        </w:rPr>
        <w:t>科普事业发展的新任务新要求等。</w:t>
      </w:r>
    </w:p>
    <w:p>
      <w:pPr>
        <w:pStyle w:val="6"/>
        <w:widowControl/>
        <w:shd w:val="solid" w:color="FFFFFF" w:fill="auto"/>
        <w:autoSpaceDN w:val="0"/>
        <w:spacing w:line="580" w:lineRule="exact"/>
        <w:ind w:firstLine="64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计算分配公式如下：</w:t>
      </w:r>
    </w:p>
    <w:p>
      <w:pPr>
        <w:pStyle w:val="6"/>
        <w:widowControl/>
        <w:shd w:val="solid" w:color="FFFFFF" w:fill="auto"/>
        <w:autoSpaceDN w:val="0"/>
        <w:spacing w:line="580" w:lineRule="exact"/>
        <w:ind w:firstLine="64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某省（区、市）因素总数=Σ[某省（区、市）分配因素数额/全国该项分配因素总数×相应权重]</w:t>
      </w:r>
    </w:p>
    <w:p>
      <w:pPr>
        <w:pStyle w:val="6"/>
        <w:widowControl/>
        <w:spacing w:line="620" w:lineRule="exact"/>
        <w:ind w:firstLine="0" w:firstLineChars="0"/>
        <w:jc w:val="left"/>
        <w:rPr>
          <w:rFonts w:ascii="黑体" w:eastAsia="黑体" w:cs="黑体"/>
          <w:sz w:val="32"/>
          <w:szCs w:val="32"/>
        </w:rPr>
      </w:pPr>
      <w:r>
        <w:rPr>
          <w:rFonts w:hint="eastAsia" w:ascii="仿宋_GB2312" w:hAnsi="仿宋_GB2312" w:eastAsia="仿宋_GB2312" w:cs="仿宋_GB2312"/>
          <w:color w:val="000000"/>
          <w:sz w:val="32"/>
          <w:szCs w:val="32"/>
          <w:shd w:val="clear" w:color="auto" w:fill="FFFFFF"/>
        </w:rPr>
        <w:t xml:space="preserve">    某省（区、市）补助资金额度=年度补助资金总额×Σ[某省（区、市）因素总数/全国因素总数]</w:t>
      </w:r>
    </w:p>
    <w:p>
      <w:pPr>
        <w:pStyle w:val="6"/>
        <w:widowControl/>
        <w:shd w:val="solid" w:color="FFFFFF" w:fill="auto"/>
        <w:autoSpaceDN w:val="0"/>
        <w:spacing w:line="620" w:lineRule="exact"/>
        <w:ind w:firstLine="64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财政部会同中国科协</w:t>
      </w:r>
      <w:r>
        <w:rPr>
          <w:rFonts w:hint="eastAsia" w:ascii="仿宋_GB2312" w:hAnsi="仿宋_GB2312" w:eastAsia="仿宋_GB2312" w:cs="仿宋_GB2312"/>
          <w:color w:val="000000"/>
          <w:sz w:val="32"/>
          <w:szCs w:val="32"/>
          <w:shd w:val="clear" w:color="auto" w:fill="FFFFFF"/>
          <w:lang w:eastAsia="zh-CN"/>
        </w:rPr>
        <w:t>根据</w:t>
      </w:r>
      <w:r>
        <w:rPr>
          <w:rFonts w:hint="eastAsia" w:ascii="仿宋_GB2312" w:hAnsi="仿宋_GB2312" w:eastAsia="仿宋_GB2312" w:cs="仿宋_GB2312"/>
          <w:color w:val="000000"/>
          <w:sz w:val="32"/>
          <w:szCs w:val="32"/>
          <w:shd w:val="clear" w:color="auto" w:fill="FFFFFF"/>
        </w:rPr>
        <w:t>绩效评价</w:t>
      </w: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rPr>
        <w:t>财政困难程度等情况，研究确定调节系数，对补助资金分配情况进行适当调节。</w:t>
      </w:r>
    </w:p>
    <w:p>
      <w:pPr>
        <w:pStyle w:val="6"/>
        <w:widowControl/>
        <w:shd w:val="solid" w:color="FFFFFF" w:fill="auto"/>
        <w:autoSpaceDN w:val="0"/>
        <w:spacing w:line="620" w:lineRule="exact"/>
        <w:ind w:firstLine="64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财政部、中国科协根据党中央、国务院有关决策部署和科普事业发展新形势等情况，</w:t>
      </w:r>
      <w:r>
        <w:rPr>
          <w:rFonts w:hint="eastAsia" w:ascii="仿宋_GB2312" w:hAnsi="仿宋_GB2312" w:eastAsia="仿宋_GB2312" w:cs="仿宋_GB2312"/>
          <w:color w:val="000000"/>
          <w:sz w:val="32"/>
          <w:szCs w:val="32"/>
          <w:shd w:val="clear" w:color="auto" w:fill="FFFFFF"/>
          <w:lang w:eastAsia="zh-CN"/>
        </w:rPr>
        <w:t>及时完善分配因素、权重，适时</w:t>
      </w:r>
      <w:r>
        <w:rPr>
          <w:rFonts w:hint="eastAsia" w:ascii="仿宋_GB2312" w:hAnsi="仿宋_GB2312" w:eastAsia="仿宋_GB2312" w:cs="仿宋_GB2312"/>
          <w:color w:val="000000"/>
          <w:sz w:val="32"/>
          <w:szCs w:val="32"/>
          <w:shd w:val="clear" w:color="auto" w:fill="FFFFFF"/>
        </w:rPr>
        <w:t>修订补助资金管理办法</w:t>
      </w:r>
      <w:r>
        <w:rPr>
          <w:rFonts w:hint="eastAsia" w:ascii="仿宋_GB2312" w:hAnsi="仿宋_GB2312" w:eastAsia="仿宋_GB2312" w:cs="仿宋_GB2312"/>
          <w:color w:val="000000"/>
          <w:sz w:val="32"/>
          <w:szCs w:val="32"/>
          <w:shd w:val="clear" w:color="auto" w:fill="FFFFFF"/>
          <w:lang w:eastAsia="zh-CN"/>
        </w:rPr>
        <w:t>，调整完善</w:t>
      </w:r>
      <w:r>
        <w:rPr>
          <w:rFonts w:hint="eastAsia" w:ascii="仿宋_GB2312" w:hAnsi="仿宋_GB2312" w:eastAsia="仿宋_GB2312" w:cs="仿宋_GB2312"/>
          <w:color w:val="000000"/>
          <w:sz w:val="32"/>
          <w:szCs w:val="32"/>
          <w:shd w:val="clear" w:color="auto" w:fill="FFFFFF"/>
        </w:rPr>
        <w:t>计算公式等，</w:t>
      </w:r>
      <w:r>
        <w:rPr>
          <w:rFonts w:hint="eastAsia" w:ascii="仿宋_GB2312" w:hAnsi="仿宋_GB2312" w:eastAsia="仿宋_GB2312" w:cs="仿宋_GB2312"/>
          <w:color w:val="000000"/>
          <w:sz w:val="32"/>
          <w:szCs w:val="32"/>
          <w:shd w:val="clear" w:color="auto" w:fill="FFFFFF"/>
          <w:lang w:eastAsia="zh-CN"/>
        </w:rPr>
        <w:t>对资金分配</w:t>
      </w:r>
      <w:r>
        <w:rPr>
          <w:rFonts w:hint="eastAsia" w:ascii="仿宋_GB2312" w:hAnsi="仿宋_GB2312" w:eastAsia="仿宋_GB2312" w:cs="仿宋_GB2312"/>
          <w:color w:val="000000"/>
          <w:sz w:val="32"/>
          <w:szCs w:val="32"/>
          <w:shd w:val="clear" w:color="auto" w:fill="FFFFFF"/>
        </w:rPr>
        <w:t>进行综合平衡。</w:t>
      </w:r>
    </w:p>
    <w:p>
      <w:pPr>
        <w:pStyle w:val="6"/>
        <w:widowControl/>
        <w:spacing w:line="620" w:lineRule="exact"/>
        <w:ind w:firstLine="0" w:firstLineChars="0"/>
        <w:jc w:val="center"/>
        <w:rPr>
          <w:rFonts w:ascii="黑体" w:eastAsia="黑体" w:cs="黑体"/>
          <w:sz w:val="32"/>
          <w:szCs w:val="32"/>
        </w:rPr>
      </w:pPr>
      <w:r>
        <w:rPr>
          <w:rFonts w:hint="eastAsia" w:ascii="黑体" w:eastAsia="黑体" w:cs="黑体"/>
          <w:sz w:val="32"/>
          <w:szCs w:val="32"/>
        </w:rPr>
        <w:t>第三章  测算与下达</w:t>
      </w:r>
    </w:p>
    <w:p>
      <w:pPr>
        <w:pStyle w:val="6"/>
        <w:widowControl/>
        <w:tabs>
          <w:tab w:val="left" w:pos="1650"/>
        </w:tabs>
        <w:spacing w:line="620" w:lineRule="exact"/>
        <w:ind w:firstLine="640"/>
        <w:rPr>
          <w:rFonts w:ascii="仿宋_GB2312" w:eastAsia="仿宋_GB2312" w:cs="仿宋_GB2312"/>
          <w:sz w:val="32"/>
          <w:szCs w:val="32"/>
        </w:rPr>
      </w:pPr>
      <w:r>
        <w:rPr>
          <w:rFonts w:hint="eastAsia" w:ascii="黑体" w:hAnsi="宋体" w:eastAsia="黑体" w:cs="黑体"/>
          <w:sz w:val="32"/>
          <w:szCs w:val="32"/>
        </w:rPr>
        <w:t>第九条</w:t>
      </w:r>
      <w:r>
        <w:rPr>
          <w:rFonts w:hint="eastAsia" w:ascii="仿宋_GB2312" w:eastAsia="仿宋_GB2312" w:cs="仿宋_GB2312"/>
          <w:sz w:val="32"/>
          <w:szCs w:val="32"/>
        </w:rPr>
        <w:t xml:space="preserve"> 省级科协会同财政部门，应当及时做好本地区</w:t>
      </w:r>
      <w:r>
        <w:rPr>
          <w:rFonts w:hint="eastAsia" w:ascii="仿宋_GB2312" w:eastAsia="仿宋_GB2312" w:cs="仿宋_GB2312"/>
          <w:sz w:val="32"/>
          <w:szCs w:val="32"/>
          <w:lang w:eastAsia="zh-CN"/>
        </w:rPr>
        <w:t>上一年度</w:t>
      </w:r>
      <w:r>
        <w:rPr>
          <w:rFonts w:hint="eastAsia" w:ascii="仿宋_GB2312" w:eastAsia="仿宋_GB2312" w:cs="仿宋_GB2312"/>
          <w:sz w:val="32"/>
          <w:szCs w:val="32"/>
        </w:rPr>
        <w:t>科技馆免费开放情况总结和数据采集等审核汇总工作，于每年1月</w:t>
      </w:r>
      <w:r>
        <w:rPr>
          <w:rFonts w:hint="eastAsia" w:ascii="仿宋_GB2312" w:eastAsia="仿宋_GB2312" w:cs="仿宋_GB2312"/>
          <w:sz w:val="32"/>
          <w:szCs w:val="32"/>
          <w:lang w:val="en-US" w:eastAsia="zh-CN"/>
        </w:rPr>
        <w:t>底</w:t>
      </w:r>
      <w:r>
        <w:rPr>
          <w:rFonts w:hint="eastAsia" w:ascii="仿宋_GB2312" w:eastAsia="仿宋_GB2312" w:cs="仿宋_GB2312"/>
          <w:sz w:val="32"/>
          <w:szCs w:val="32"/>
        </w:rPr>
        <w:t>前报送中国科协</w:t>
      </w:r>
      <w:r>
        <w:rPr>
          <w:rFonts w:hint="eastAsia" w:ascii="仿宋_GB2312" w:eastAsia="仿宋_GB2312" w:cs="仿宋_GB2312"/>
          <w:sz w:val="32"/>
          <w:szCs w:val="32"/>
          <w:lang w:eastAsia="zh-CN"/>
        </w:rPr>
        <w:t>、</w:t>
      </w:r>
      <w:r>
        <w:rPr>
          <w:rFonts w:hint="eastAsia" w:ascii="仿宋_GB2312" w:eastAsia="仿宋_GB2312" w:cs="仿宋_GB2312"/>
          <w:sz w:val="32"/>
          <w:szCs w:val="32"/>
        </w:rPr>
        <w:t>财政部。</w:t>
      </w:r>
    </w:p>
    <w:p>
      <w:pPr>
        <w:pStyle w:val="6"/>
        <w:widowControl/>
        <w:tabs>
          <w:tab w:val="left" w:pos="1650"/>
        </w:tabs>
        <w:spacing w:line="620" w:lineRule="exact"/>
        <w:ind w:firstLine="640"/>
        <w:rPr>
          <w:rFonts w:ascii="仿宋_GB2312" w:eastAsia="仿宋_GB2312" w:cs="仿宋_GB2312"/>
          <w:sz w:val="32"/>
          <w:szCs w:val="32"/>
        </w:rPr>
      </w:pPr>
      <w:r>
        <w:rPr>
          <w:rFonts w:hint="eastAsia" w:ascii="黑体" w:hAnsi="宋体" w:eastAsia="黑体" w:cs="黑体"/>
          <w:sz w:val="32"/>
          <w:szCs w:val="32"/>
        </w:rPr>
        <w:t>第十条</w:t>
      </w:r>
      <w:r>
        <w:rPr>
          <w:rFonts w:hint="eastAsia" w:ascii="仿宋_GB2312" w:eastAsia="仿宋_GB2312" w:cs="仿宋_GB2312"/>
          <w:sz w:val="32"/>
          <w:szCs w:val="32"/>
        </w:rPr>
        <w:t xml:space="preserve"> 中国科协按要求组织专家根据各省</w:t>
      </w:r>
      <w:r>
        <w:rPr>
          <w:rFonts w:hint="eastAsia" w:ascii="仿宋_GB2312" w:eastAsia="仿宋_GB2312" w:cs="仿宋_GB2312"/>
          <w:sz w:val="32"/>
          <w:szCs w:val="32"/>
          <w:lang w:eastAsia="zh-CN"/>
        </w:rPr>
        <w:t>（区、市）</w:t>
      </w:r>
      <w:r>
        <w:rPr>
          <w:rFonts w:hint="eastAsia" w:ascii="仿宋_GB2312" w:eastAsia="仿宋_GB2312" w:cs="仿宋_GB2312"/>
          <w:sz w:val="32"/>
          <w:szCs w:val="32"/>
        </w:rPr>
        <w:t>报送的科技馆免费开放情况</w:t>
      </w:r>
      <w:r>
        <w:rPr>
          <w:rFonts w:hint="eastAsia" w:ascii="仿宋_GB2312" w:eastAsia="仿宋_GB2312" w:cs="仿宋_GB2312"/>
          <w:sz w:val="32"/>
          <w:szCs w:val="32"/>
          <w:lang w:eastAsia="zh-CN"/>
        </w:rPr>
        <w:t>、</w:t>
      </w:r>
      <w:r>
        <w:rPr>
          <w:rFonts w:hint="eastAsia" w:ascii="仿宋_GB2312" w:eastAsia="仿宋_GB2312" w:cs="仿宋_GB2312"/>
          <w:sz w:val="32"/>
          <w:szCs w:val="32"/>
        </w:rPr>
        <w:t>新增科技馆名单</w:t>
      </w:r>
      <w:r>
        <w:rPr>
          <w:rFonts w:hint="eastAsia" w:ascii="仿宋_GB2312" w:eastAsia="仿宋_GB2312" w:cs="仿宋_GB2312"/>
          <w:sz w:val="32"/>
          <w:szCs w:val="32"/>
          <w:lang w:eastAsia="zh-CN"/>
        </w:rPr>
        <w:t>、绩效评价</w:t>
      </w:r>
      <w:r>
        <w:rPr>
          <w:rFonts w:hint="eastAsia" w:ascii="仿宋_GB2312" w:eastAsia="仿宋_GB2312" w:cs="仿宋_GB2312"/>
          <w:sz w:val="32"/>
          <w:szCs w:val="32"/>
        </w:rPr>
        <w:t>等内容，提出当年补助资金分配建议方案报财政部。</w:t>
      </w:r>
      <w:bookmarkStart w:id="0" w:name="_GoBack"/>
      <w:bookmarkEnd w:id="0"/>
    </w:p>
    <w:p>
      <w:pPr>
        <w:pStyle w:val="6"/>
        <w:widowControl/>
        <w:tabs>
          <w:tab w:val="left" w:pos="1650"/>
        </w:tabs>
        <w:spacing w:line="620" w:lineRule="exact"/>
        <w:ind w:firstLine="640"/>
        <w:rPr>
          <w:rFonts w:ascii="仿宋_GB2312" w:eastAsia="仿宋_GB2312" w:cs="仿宋_GB2312"/>
          <w:bCs/>
          <w:sz w:val="32"/>
          <w:szCs w:val="32"/>
          <w:highlight w:val="cyan"/>
        </w:rPr>
      </w:pPr>
      <w:r>
        <w:rPr>
          <w:rFonts w:hint="eastAsia" w:ascii="黑体" w:hAnsi="宋体" w:eastAsia="黑体" w:cs="黑体"/>
          <w:sz w:val="32"/>
          <w:szCs w:val="32"/>
        </w:rPr>
        <w:t>第十一条</w:t>
      </w:r>
      <w:r>
        <w:rPr>
          <w:rFonts w:hint="eastAsia" w:ascii="仿宋_GB2312" w:eastAsia="仿宋_GB2312" w:cs="仿宋_GB2312"/>
          <w:sz w:val="32"/>
          <w:szCs w:val="32"/>
        </w:rPr>
        <w:t xml:space="preserve"> 财政部</w:t>
      </w:r>
      <w:r>
        <w:rPr>
          <w:rFonts w:hint="eastAsia" w:ascii="仿宋_GB2312" w:hAnsi="仿宋_GB2312" w:eastAsia="仿宋_GB2312" w:cs="仿宋_GB2312"/>
          <w:color w:val="000000"/>
          <w:sz w:val="32"/>
          <w:szCs w:val="32"/>
          <w:shd w:val="clear" w:color="auto" w:fill="FFFFFF"/>
        </w:rPr>
        <w:t>对</w:t>
      </w:r>
      <w:r>
        <w:rPr>
          <w:rFonts w:hint="eastAsia" w:ascii="仿宋_GB2312" w:eastAsia="仿宋_GB2312" w:cs="仿宋_GB2312"/>
          <w:sz w:val="32"/>
          <w:szCs w:val="32"/>
        </w:rPr>
        <w:t>补助资金</w:t>
      </w:r>
      <w:r>
        <w:rPr>
          <w:rFonts w:hint="eastAsia" w:ascii="仿宋_GB2312" w:hAnsi="仿宋_GB2312" w:eastAsia="仿宋_GB2312" w:cs="仿宋_GB2312"/>
          <w:color w:val="000000"/>
          <w:sz w:val="32"/>
          <w:szCs w:val="32"/>
          <w:shd w:val="clear" w:color="auto" w:fill="FFFFFF"/>
        </w:rPr>
        <w:t>分配建议方案进行审核，于每年全国人民代表大会批准中央预算后30日内，正式下达补助资金预算。</w:t>
      </w:r>
    </w:p>
    <w:p>
      <w:pPr>
        <w:pStyle w:val="6"/>
        <w:widowControl/>
        <w:tabs>
          <w:tab w:val="left" w:pos="1650"/>
        </w:tabs>
        <w:spacing w:line="620" w:lineRule="exact"/>
        <w:ind w:left="-10" w:firstLine="640"/>
        <w:rPr>
          <w:rFonts w:ascii="仿宋_GB2312" w:eastAsia="仿宋_GB2312" w:cs="仿宋_GB2312"/>
          <w:sz w:val="32"/>
          <w:szCs w:val="32"/>
        </w:rPr>
      </w:pPr>
      <w:r>
        <w:rPr>
          <w:rFonts w:hint="eastAsia" w:ascii="仿宋_GB2312" w:eastAsia="仿宋_GB2312" w:cs="仿宋_GB2312"/>
          <w:sz w:val="32"/>
          <w:szCs w:val="32"/>
        </w:rPr>
        <w:t>财政部按规定</w:t>
      </w:r>
      <w:r>
        <w:rPr>
          <w:rFonts w:hint="eastAsia" w:ascii="仿宋_GB2312" w:hAnsi="仿宋_GB2312" w:eastAsia="仿宋_GB2312" w:cs="仿宋_GB2312"/>
          <w:color w:val="000000"/>
          <w:sz w:val="32"/>
          <w:szCs w:val="32"/>
          <w:shd w:val="clear" w:color="auto" w:fill="FFFFFF"/>
        </w:rPr>
        <w:t>提前下达下一年度补助资金预计数，并抄送财政部各地监管局。</w:t>
      </w:r>
    </w:p>
    <w:p>
      <w:pPr>
        <w:pStyle w:val="6"/>
        <w:widowControl/>
        <w:tabs>
          <w:tab w:val="left" w:pos="1650"/>
        </w:tabs>
        <w:spacing w:line="620" w:lineRule="exact"/>
        <w:ind w:firstLine="640"/>
        <w:rPr>
          <w:rFonts w:ascii="仿宋_GB2312" w:eastAsia="仿宋_GB2312" w:cs="仿宋_GB2312"/>
          <w:b/>
          <w:bCs/>
          <w:sz w:val="32"/>
          <w:szCs w:val="32"/>
        </w:rPr>
      </w:pPr>
      <w:r>
        <w:rPr>
          <w:rFonts w:hint="eastAsia" w:ascii="黑体" w:hAnsi="宋体" w:eastAsia="黑体" w:cs="黑体"/>
          <w:sz w:val="32"/>
          <w:szCs w:val="32"/>
        </w:rPr>
        <w:t>第十二条</w:t>
      </w:r>
      <w:r>
        <w:rPr>
          <w:rFonts w:hint="eastAsia" w:ascii="仿宋_GB2312" w:eastAsia="仿宋_GB2312" w:cs="仿宋_GB2312"/>
          <w:sz w:val="32"/>
          <w:szCs w:val="32"/>
        </w:rPr>
        <w:t xml:space="preserve"> 省级财政部门</w:t>
      </w:r>
      <w:r>
        <w:rPr>
          <w:rFonts w:hint="eastAsia" w:ascii="仿宋_GB2312" w:hAnsi="仿宋" w:eastAsia="仿宋_GB2312" w:cs="华文仿宋"/>
          <w:color w:val="000000"/>
          <w:sz w:val="32"/>
          <w:szCs w:val="32"/>
        </w:rPr>
        <w:t>接到中央财政下达的预算后，</w:t>
      </w:r>
      <w:r>
        <w:rPr>
          <w:rFonts w:hint="eastAsia" w:ascii="仿宋_GB2312" w:hAnsi="仿宋" w:eastAsia="仿宋_GB2312" w:cs="仿宋_GB2312"/>
          <w:color w:val="000000"/>
          <w:sz w:val="32"/>
          <w:szCs w:val="32"/>
        </w:rPr>
        <w:t>应当会同科协在30日内设定区域绩效目标</w:t>
      </w:r>
      <w:r>
        <w:rPr>
          <w:rFonts w:hint="eastAsia" w:ascii="仿宋_GB2312" w:hAnsi="仿宋" w:eastAsia="仿宋_GB2312" w:cs="仿宋_GB2312"/>
          <w:color w:val="000000"/>
          <w:sz w:val="32"/>
          <w:szCs w:val="32"/>
          <w:lang w:eastAsia="zh-CN"/>
        </w:rPr>
        <w:t>，</w:t>
      </w:r>
      <w:r>
        <w:rPr>
          <w:rFonts w:hint="eastAsia" w:ascii="仿宋_GB2312" w:hAnsi="仿宋" w:eastAsia="仿宋_GB2312" w:cs="仿宋_GB2312"/>
          <w:color w:val="000000"/>
          <w:sz w:val="32"/>
          <w:szCs w:val="32"/>
        </w:rPr>
        <w:t>按照预算级次合理分配、及时下达</w:t>
      </w:r>
      <w:r>
        <w:rPr>
          <w:rFonts w:hint="eastAsia" w:ascii="仿宋_GB2312" w:hAnsi="仿宋" w:eastAsia="仿宋_GB2312" w:cs="仿宋_GB2312"/>
          <w:color w:val="000000"/>
          <w:sz w:val="32"/>
          <w:szCs w:val="32"/>
          <w:lang w:eastAsia="zh-CN"/>
        </w:rPr>
        <w:t>（编列）</w:t>
      </w:r>
      <w:r>
        <w:rPr>
          <w:rFonts w:hint="eastAsia" w:ascii="仿宋_GB2312" w:hAnsi="仿宋" w:eastAsia="仿宋_GB2312" w:cs="宋体"/>
          <w:color w:val="000000"/>
          <w:sz w:val="32"/>
          <w:szCs w:val="32"/>
        </w:rPr>
        <w:t>补助资金预算</w:t>
      </w:r>
      <w:r>
        <w:rPr>
          <w:rFonts w:hint="eastAsia" w:ascii="仿宋_GB2312" w:hAnsi="仿宋" w:eastAsia="仿宋_GB2312" w:cs="仿宋_GB2312"/>
          <w:color w:val="000000"/>
          <w:sz w:val="32"/>
          <w:szCs w:val="32"/>
        </w:rPr>
        <w:t>，并抄送财政部、中国科协及财政部当地监管局。</w:t>
      </w:r>
    </w:p>
    <w:p>
      <w:pPr>
        <w:pStyle w:val="6"/>
        <w:widowControl/>
        <w:tabs>
          <w:tab w:val="left" w:pos="1650"/>
        </w:tabs>
        <w:spacing w:line="620" w:lineRule="exact"/>
        <w:ind w:left="630" w:firstLine="0" w:firstLineChars="0"/>
        <w:rPr>
          <w:rFonts w:ascii="仿宋_GB2312" w:eastAsia="仿宋_GB2312" w:cs="仿宋_GB2312"/>
          <w:b/>
          <w:bCs/>
          <w:sz w:val="32"/>
          <w:szCs w:val="32"/>
        </w:rPr>
      </w:pPr>
    </w:p>
    <w:p>
      <w:pPr>
        <w:pStyle w:val="6"/>
        <w:widowControl/>
        <w:spacing w:line="620" w:lineRule="exact"/>
        <w:ind w:firstLine="0" w:firstLineChars="0"/>
        <w:jc w:val="center"/>
        <w:rPr>
          <w:rFonts w:ascii="黑体" w:eastAsia="黑体" w:cs="黑体"/>
          <w:sz w:val="32"/>
          <w:szCs w:val="32"/>
        </w:rPr>
      </w:pPr>
      <w:r>
        <w:rPr>
          <w:rFonts w:hint="eastAsia" w:ascii="黑体" w:eastAsia="黑体" w:cs="黑体"/>
          <w:sz w:val="32"/>
          <w:szCs w:val="32"/>
        </w:rPr>
        <w:t>第四章  管理与使用</w:t>
      </w:r>
    </w:p>
    <w:p>
      <w:pPr>
        <w:pStyle w:val="6"/>
        <w:widowControl/>
        <w:tabs>
          <w:tab w:val="left" w:pos="1650"/>
        </w:tabs>
        <w:spacing w:line="620" w:lineRule="exact"/>
        <w:ind w:firstLine="640"/>
        <w:rPr>
          <w:rFonts w:ascii="仿宋_GB2312" w:eastAsia="仿宋_GB2312" w:cs="仿宋_GB2312"/>
          <w:sz w:val="32"/>
          <w:szCs w:val="32"/>
        </w:rPr>
      </w:pPr>
      <w:r>
        <w:rPr>
          <w:rFonts w:hint="eastAsia" w:ascii="黑体" w:hAnsi="宋体" w:eastAsia="黑体" w:cs="黑体"/>
          <w:sz w:val="32"/>
          <w:szCs w:val="32"/>
        </w:rPr>
        <w:t>第十</w:t>
      </w:r>
      <w:r>
        <w:rPr>
          <w:rFonts w:hint="eastAsia" w:ascii="黑体" w:hAnsi="宋体" w:eastAsia="黑体" w:cs="黑体"/>
          <w:sz w:val="32"/>
          <w:szCs w:val="32"/>
          <w:lang w:eastAsia="zh-CN"/>
        </w:rPr>
        <w:t>三</w:t>
      </w:r>
      <w:r>
        <w:rPr>
          <w:rFonts w:hint="eastAsia" w:ascii="黑体" w:hAnsi="宋体" w:eastAsia="黑体" w:cs="黑体"/>
          <w:sz w:val="32"/>
          <w:szCs w:val="32"/>
        </w:rPr>
        <w:t>条</w:t>
      </w:r>
      <w:r>
        <w:rPr>
          <w:rFonts w:hint="eastAsia" w:ascii="仿宋_GB2312" w:eastAsia="仿宋_GB2312" w:cs="仿宋_GB2312"/>
          <w:sz w:val="32"/>
          <w:szCs w:val="32"/>
        </w:rPr>
        <w:t xml:space="preserve"> </w:t>
      </w:r>
      <w:r>
        <w:rPr>
          <w:rFonts w:hint="eastAsia" w:ascii="仿宋_GB2312" w:hAnsi="仿宋" w:eastAsia="仿宋_GB2312" w:cs="华文仿宋"/>
          <w:color w:val="000000"/>
          <w:sz w:val="32"/>
          <w:szCs w:val="32"/>
        </w:rPr>
        <w:t>补助资金支付执行国库集中支付制度。涉及政府采购的，按照政府采购法律法规和有关制度执行</w:t>
      </w:r>
      <w:r>
        <w:rPr>
          <w:rFonts w:hint="eastAsia" w:ascii="仿宋_GB2312" w:hAnsi="仿宋_GB2312" w:eastAsia="仿宋_GB2312" w:cs="仿宋_GB2312"/>
          <w:color w:val="000000"/>
          <w:sz w:val="32"/>
          <w:szCs w:val="32"/>
          <w:shd w:val="clear" w:color="auto" w:fill="FFFFFF"/>
        </w:rPr>
        <w:t>。</w:t>
      </w:r>
    </w:p>
    <w:p>
      <w:pPr>
        <w:pStyle w:val="6"/>
        <w:widowControl/>
        <w:tabs>
          <w:tab w:val="left" w:pos="1650"/>
        </w:tabs>
        <w:spacing w:line="620" w:lineRule="exact"/>
        <w:ind w:firstLine="640"/>
        <w:rPr>
          <w:rFonts w:ascii="仿宋_GB2312" w:eastAsia="仿宋_GB2312" w:cs="仿宋_GB2312"/>
          <w:sz w:val="32"/>
          <w:szCs w:val="32"/>
        </w:rPr>
      </w:pPr>
      <w:r>
        <w:rPr>
          <w:rFonts w:hint="eastAsia" w:ascii="黑体" w:hAnsi="宋体" w:eastAsia="黑体" w:cs="黑体"/>
          <w:sz w:val="32"/>
          <w:szCs w:val="32"/>
        </w:rPr>
        <w:t>第十</w:t>
      </w:r>
      <w:r>
        <w:rPr>
          <w:rFonts w:hint="eastAsia" w:ascii="黑体" w:hAnsi="宋体" w:eastAsia="黑体" w:cs="黑体"/>
          <w:sz w:val="32"/>
          <w:szCs w:val="32"/>
          <w:lang w:eastAsia="zh-CN"/>
        </w:rPr>
        <w:t>四</w:t>
      </w:r>
      <w:r>
        <w:rPr>
          <w:rFonts w:hint="eastAsia" w:ascii="黑体" w:hAnsi="宋体" w:eastAsia="黑体" w:cs="黑体"/>
          <w:sz w:val="32"/>
          <w:szCs w:val="32"/>
        </w:rPr>
        <w:t>条</w:t>
      </w:r>
      <w:r>
        <w:rPr>
          <w:rFonts w:hint="eastAsia" w:ascii="仿宋_GB2312" w:eastAsia="仿宋_GB2312" w:cs="仿宋_GB2312"/>
          <w:sz w:val="32"/>
          <w:szCs w:val="32"/>
        </w:rPr>
        <w:t xml:space="preserve"> </w:t>
      </w:r>
      <w:r>
        <w:rPr>
          <w:rFonts w:hint="eastAsia" w:ascii="仿宋_GB2312" w:hAnsi="仿宋_GB2312" w:eastAsia="仿宋_GB2312" w:cs="仿宋_GB2312"/>
          <w:color w:val="000000"/>
          <w:sz w:val="32"/>
          <w:szCs w:val="32"/>
          <w:shd w:val="clear" w:color="auto" w:fill="FFFFFF"/>
        </w:rPr>
        <w:t>补助资金形成的资产属于国有资产，应当按照国家国有资产管理有关规定管理。</w:t>
      </w:r>
    </w:p>
    <w:p>
      <w:pPr>
        <w:pStyle w:val="6"/>
        <w:widowControl/>
        <w:tabs>
          <w:tab w:val="left" w:pos="1650"/>
        </w:tabs>
        <w:spacing w:line="620" w:lineRule="exact"/>
        <w:ind w:firstLine="640"/>
        <w:rPr>
          <w:rFonts w:ascii="仿宋_GB2312" w:eastAsia="仿宋_GB2312" w:cs="仿宋_GB2312"/>
          <w:sz w:val="32"/>
          <w:szCs w:val="32"/>
        </w:rPr>
      </w:pPr>
      <w:r>
        <w:rPr>
          <w:rFonts w:hint="eastAsia" w:ascii="黑体" w:hAnsi="宋体" w:eastAsia="黑体" w:cs="黑体"/>
          <w:sz w:val="32"/>
          <w:szCs w:val="32"/>
        </w:rPr>
        <w:t>第十</w:t>
      </w:r>
      <w:r>
        <w:rPr>
          <w:rFonts w:hint="eastAsia" w:ascii="黑体" w:hAnsi="宋体" w:eastAsia="黑体" w:cs="黑体"/>
          <w:sz w:val="32"/>
          <w:szCs w:val="32"/>
          <w:lang w:eastAsia="zh-CN"/>
        </w:rPr>
        <w:t>五</w:t>
      </w:r>
      <w:r>
        <w:rPr>
          <w:rFonts w:hint="eastAsia" w:ascii="黑体" w:hAnsi="宋体" w:eastAsia="黑体" w:cs="黑体"/>
          <w:sz w:val="32"/>
          <w:szCs w:val="32"/>
        </w:rPr>
        <w:t>条</w:t>
      </w:r>
      <w:r>
        <w:rPr>
          <w:rFonts w:hint="eastAsia" w:ascii="仿宋_GB2312" w:eastAsia="仿宋_GB2312" w:cs="仿宋_GB2312"/>
          <w:sz w:val="32"/>
          <w:szCs w:val="32"/>
        </w:rPr>
        <w:t xml:space="preserve"> 补助资金原则上应当在当年执行完毕，年度未支出的补助资金按财政部结转结余资金管理有关规定处理。</w:t>
      </w:r>
    </w:p>
    <w:p>
      <w:pPr>
        <w:pStyle w:val="6"/>
        <w:widowControl/>
        <w:tabs>
          <w:tab w:val="left" w:pos="1650"/>
        </w:tabs>
        <w:spacing w:line="620" w:lineRule="exact"/>
        <w:ind w:firstLine="640"/>
        <w:rPr>
          <w:rFonts w:ascii="仿宋_GB2312" w:eastAsia="仿宋_GB2312" w:cs="仿宋_GB2312"/>
          <w:sz w:val="32"/>
          <w:szCs w:val="32"/>
        </w:rPr>
      </w:pPr>
      <w:r>
        <w:rPr>
          <w:rFonts w:hint="eastAsia" w:ascii="黑体" w:hAnsi="宋体" w:eastAsia="黑体" w:cs="黑体"/>
          <w:sz w:val="32"/>
          <w:szCs w:val="32"/>
        </w:rPr>
        <w:t>第十</w:t>
      </w:r>
      <w:r>
        <w:rPr>
          <w:rFonts w:hint="eastAsia" w:ascii="黑体" w:hAnsi="宋体" w:eastAsia="黑体" w:cs="黑体"/>
          <w:sz w:val="32"/>
          <w:szCs w:val="32"/>
          <w:lang w:eastAsia="zh-CN"/>
        </w:rPr>
        <w:t>六</w:t>
      </w:r>
      <w:r>
        <w:rPr>
          <w:rFonts w:hint="eastAsia" w:ascii="黑体" w:hAnsi="宋体" w:eastAsia="黑体" w:cs="黑体"/>
          <w:sz w:val="32"/>
          <w:szCs w:val="32"/>
        </w:rPr>
        <w:t>条</w:t>
      </w:r>
      <w:r>
        <w:rPr>
          <w:rFonts w:hint="eastAsia" w:ascii="仿宋_GB2312" w:eastAsia="仿宋_GB2312" w:cs="仿宋_GB2312"/>
          <w:sz w:val="32"/>
          <w:szCs w:val="32"/>
        </w:rPr>
        <w:t xml:space="preserve"> 地方各级财政部门应当落实管理责任，不得挤占、挪用、截留</w:t>
      </w:r>
      <w:r>
        <w:rPr>
          <w:rFonts w:hint="eastAsia" w:ascii="仿宋_GB2312" w:eastAsia="仿宋_GB2312" w:cs="仿宋_GB2312"/>
          <w:sz w:val="32"/>
          <w:szCs w:val="32"/>
          <w:lang w:eastAsia="zh-CN"/>
        </w:rPr>
        <w:t>和</w:t>
      </w:r>
      <w:r>
        <w:rPr>
          <w:rFonts w:hint="eastAsia" w:ascii="仿宋_GB2312" w:eastAsia="仿宋_GB2312" w:cs="仿宋_GB2312"/>
          <w:sz w:val="32"/>
          <w:szCs w:val="32"/>
        </w:rPr>
        <w:t>滞留补助资金。</w:t>
      </w:r>
    </w:p>
    <w:p>
      <w:pPr>
        <w:pStyle w:val="6"/>
        <w:widowControl/>
        <w:spacing w:line="620" w:lineRule="exact"/>
        <w:ind w:firstLine="0" w:firstLineChars="0"/>
        <w:jc w:val="center"/>
        <w:rPr>
          <w:rFonts w:ascii="黑体" w:eastAsia="黑体" w:cs="黑体"/>
          <w:sz w:val="32"/>
          <w:szCs w:val="32"/>
        </w:rPr>
      </w:pPr>
    </w:p>
    <w:p>
      <w:pPr>
        <w:pStyle w:val="6"/>
        <w:widowControl/>
        <w:spacing w:line="620" w:lineRule="exact"/>
        <w:ind w:firstLine="0" w:firstLineChars="0"/>
        <w:jc w:val="center"/>
        <w:rPr>
          <w:rFonts w:ascii="黑体" w:eastAsia="黑体" w:cs="黑体"/>
          <w:sz w:val="32"/>
          <w:szCs w:val="32"/>
        </w:rPr>
      </w:pPr>
      <w:r>
        <w:rPr>
          <w:rFonts w:hint="eastAsia" w:ascii="黑体" w:eastAsia="黑体" w:cs="黑体"/>
          <w:sz w:val="32"/>
          <w:szCs w:val="32"/>
        </w:rPr>
        <w:t>第五章  绩效管理与监督</w:t>
      </w:r>
    </w:p>
    <w:p>
      <w:pPr>
        <w:pStyle w:val="6"/>
        <w:widowControl/>
        <w:tabs>
          <w:tab w:val="left" w:pos="1650"/>
        </w:tabs>
        <w:spacing w:line="620" w:lineRule="exact"/>
        <w:ind w:firstLine="640"/>
        <w:rPr>
          <w:rFonts w:ascii="仿宋_GB2312" w:eastAsia="仿宋_GB2312" w:cs="仿宋_GB2312"/>
          <w:sz w:val="32"/>
          <w:szCs w:val="32"/>
        </w:rPr>
      </w:pPr>
      <w:r>
        <w:rPr>
          <w:rFonts w:hint="eastAsia" w:ascii="黑体" w:hAnsi="宋体" w:eastAsia="黑体" w:cs="黑体"/>
          <w:sz w:val="32"/>
          <w:szCs w:val="32"/>
        </w:rPr>
        <w:t>第十</w:t>
      </w:r>
      <w:r>
        <w:rPr>
          <w:rFonts w:hint="eastAsia" w:ascii="黑体" w:hAnsi="宋体" w:eastAsia="黑体" w:cs="黑体"/>
          <w:sz w:val="32"/>
          <w:szCs w:val="32"/>
          <w:lang w:eastAsia="zh-CN"/>
        </w:rPr>
        <w:t>七</w:t>
      </w:r>
      <w:r>
        <w:rPr>
          <w:rFonts w:hint="eastAsia" w:ascii="黑体" w:hAnsi="宋体" w:eastAsia="黑体" w:cs="黑体"/>
          <w:sz w:val="32"/>
          <w:szCs w:val="32"/>
        </w:rPr>
        <w:t>条</w:t>
      </w:r>
      <w:r>
        <w:rPr>
          <w:rFonts w:hint="eastAsia" w:ascii="仿宋_GB2312" w:eastAsia="仿宋_GB2312" w:cs="仿宋_GB2312"/>
          <w:sz w:val="32"/>
          <w:szCs w:val="32"/>
        </w:rPr>
        <w:t xml:space="preserve"> 财政部、中国科协</w:t>
      </w:r>
      <w:r>
        <w:rPr>
          <w:rFonts w:hint="eastAsia" w:ascii="仿宋_GB2312" w:eastAsia="仿宋_GB2312" w:cs="仿宋_GB2312"/>
          <w:sz w:val="32"/>
          <w:szCs w:val="32"/>
          <w:lang w:eastAsia="zh-CN"/>
        </w:rPr>
        <w:t>应加强对补助资金分配使用管理情况的监督</w:t>
      </w:r>
      <w:r>
        <w:rPr>
          <w:rFonts w:hint="eastAsia" w:ascii="仿宋_GB2312" w:eastAsia="仿宋_GB2312" w:cs="仿宋_GB2312"/>
          <w:sz w:val="32"/>
          <w:szCs w:val="32"/>
        </w:rPr>
        <w:t>，督促地方财政部门</w:t>
      </w:r>
      <w:r>
        <w:rPr>
          <w:rFonts w:hint="eastAsia" w:ascii="仿宋_GB2312" w:eastAsia="仿宋_GB2312" w:cs="仿宋_GB2312"/>
          <w:sz w:val="32"/>
          <w:szCs w:val="32"/>
          <w:lang w:eastAsia="zh-CN"/>
        </w:rPr>
        <w:t>、</w:t>
      </w:r>
      <w:r>
        <w:rPr>
          <w:rFonts w:hint="eastAsia" w:ascii="仿宋_GB2312" w:eastAsia="仿宋_GB2312" w:cs="仿宋_GB2312"/>
          <w:sz w:val="32"/>
          <w:szCs w:val="32"/>
        </w:rPr>
        <w:t>科协落实预算绩效管理要求。</w:t>
      </w:r>
    </w:p>
    <w:p>
      <w:pPr>
        <w:pStyle w:val="6"/>
        <w:widowControl/>
        <w:tabs>
          <w:tab w:val="left" w:pos="1650"/>
        </w:tabs>
        <w:spacing w:line="620" w:lineRule="exact"/>
        <w:ind w:firstLine="640"/>
        <w:rPr>
          <w:rFonts w:ascii="仿宋_GB2312" w:hAnsi="仿宋_GB2312" w:eastAsia="仿宋_GB2312" w:cs="仿宋_GB2312"/>
          <w:color w:val="000000"/>
          <w:sz w:val="32"/>
          <w:szCs w:val="32"/>
          <w:highlight w:val="cyan"/>
          <w:shd w:val="clear" w:color="auto" w:fill="FFFFFF"/>
        </w:rPr>
      </w:pPr>
      <w:r>
        <w:rPr>
          <w:rFonts w:hint="eastAsia" w:ascii="仿宋_GB2312" w:eastAsia="仿宋_GB2312" w:cs="仿宋_GB2312"/>
          <w:sz w:val="32"/>
          <w:szCs w:val="32"/>
        </w:rPr>
        <w:t>财政部会同中国科协，结合地方绩效自评工作，对补助资金进行绩效评价，评价结果作为预算安排、改进管理、完善政策的重要依据。</w:t>
      </w:r>
    </w:p>
    <w:p>
      <w:pPr>
        <w:pStyle w:val="6"/>
        <w:widowControl/>
        <w:tabs>
          <w:tab w:val="left" w:pos="1650"/>
        </w:tabs>
        <w:spacing w:line="620" w:lineRule="exact"/>
        <w:ind w:firstLine="640"/>
        <w:rPr>
          <w:rFonts w:ascii="仿宋_GB2312" w:eastAsia="仿宋_GB2312" w:cs="仿宋_GB2312"/>
          <w:sz w:val="32"/>
          <w:szCs w:val="32"/>
        </w:rPr>
      </w:pPr>
      <w:r>
        <w:rPr>
          <w:rFonts w:hint="eastAsia" w:ascii="仿宋_GB2312" w:eastAsia="仿宋_GB2312" w:cs="仿宋_GB2312"/>
          <w:sz w:val="32"/>
          <w:szCs w:val="32"/>
        </w:rPr>
        <w:t>地方各级科协、财政部门按照全面实施预算绩效管理的要求，具体开展本地区绩效目标管理、绩效运行监控、绩效评价和绩效结果应用、绩效信息公开等工作，提高补助资金使用效益。</w:t>
      </w:r>
    </w:p>
    <w:p>
      <w:pPr>
        <w:pStyle w:val="6"/>
        <w:widowControl/>
        <w:tabs>
          <w:tab w:val="left" w:pos="1650"/>
        </w:tabs>
        <w:spacing w:line="620" w:lineRule="exact"/>
        <w:ind w:firstLine="640"/>
        <w:rPr>
          <w:rFonts w:ascii="仿宋_GB2312" w:hAnsi="仿宋_GB2312" w:eastAsia="仿宋_GB2312" w:cs="仿宋_GB2312"/>
          <w:color w:val="000000"/>
          <w:sz w:val="32"/>
          <w:szCs w:val="32"/>
          <w:shd w:val="clear" w:color="auto" w:fill="FFFFFF"/>
        </w:rPr>
      </w:pPr>
      <w:r>
        <w:rPr>
          <w:rFonts w:hint="eastAsia" w:ascii="黑体" w:hAnsi="宋体" w:eastAsia="黑体" w:cs="黑体"/>
          <w:sz w:val="32"/>
          <w:szCs w:val="32"/>
        </w:rPr>
        <w:t>第十</w:t>
      </w:r>
      <w:r>
        <w:rPr>
          <w:rFonts w:hint="eastAsia" w:ascii="黑体" w:hAnsi="宋体" w:eastAsia="黑体" w:cs="黑体"/>
          <w:sz w:val="32"/>
          <w:szCs w:val="32"/>
          <w:lang w:eastAsia="zh-CN"/>
        </w:rPr>
        <w:t>八</w:t>
      </w:r>
      <w:r>
        <w:rPr>
          <w:rFonts w:hint="eastAsia" w:ascii="黑体" w:hAnsi="宋体" w:eastAsia="黑体" w:cs="黑体"/>
          <w:sz w:val="32"/>
          <w:szCs w:val="32"/>
        </w:rPr>
        <w:t>条</w:t>
      </w:r>
      <w:r>
        <w:rPr>
          <w:rFonts w:hint="eastAsia" w:ascii="仿宋_GB2312" w:eastAsia="仿宋_GB2312" w:cs="仿宋_GB2312"/>
          <w:sz w:val="32"/>
          <w:szCs w:val="32"/>
        </w:rPr>
        <w:t xml:space="preserve"> </w:t>
      </w:r>
      <w:r>
        <w:rPr>
          <w:rFonts w:hint="eastAsia" w:ascii="仿宋_GB2312" w:hAnsi="仿宋_GB2312" w:eastAsia="仿宋_GB2312" w:cs="仿宋_GB2312"/>
          <w:color w:val="000000"/>
          <w:sz w:val="32"/>
          <w:szCs w:val="32"/>
          <w:shd w:val="clear" w:color="auto" w:fill="FFFFFF"/>
        </w:rPr>
        <w:t>省级科协、财政部门应当于每年1月</w:t>
      </w:r>
      <w:r>
        <w:rPr>
          <w:rFonts w:hint="eastAsia" w:ascii="仿宋_GB2312" w:hAnsi="仿宋_GB2312" w:eastAsia="仿宋_GB2312" w:cs="仿宋_GB2312"/>
          <w:color w:val="000000"/>
          <w:sz w:val="32"/>
          <w:szCs w:val="32"/>
          <w:shd w:val="clear" w:color="auto" w:fill="FFFFFF"/>
          <w:lang w:eastAsia="zh-CN"/>
        </w:rPr>
        <w:t>底</w:t>
      </w:r>
      <w:r>
        <w:rPr>
          <w:rFonts w:hint="eastAsia" w:ascii="仿宋_GB2312" w:hAnsi="仿宋_GB2312" w:eastAsia="仿宋_GB2312" w:cs="仿宋_GB2312"/>
          <w:color w:val="000000"/>
          <w:sz w:val="32"/>
          <w:szCs w:val="32"/>
          <w:shd w:val="clear" w:color="auto" w:fill="FFFFFF"/>
        </w:rPr>
        <w:t>前向中国科协、财政部报送上一年度补助资金绩效自评报告，并抄送财政部当地监管局，主要包括上一年度补助资金支出情况、科技馆免费开放组织实施情况</w:t>
      </w: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rPr>
        <w:t>绩效</w:t>
      </w:r>
      <w:r>
        <w:rPr>
          <w:rFonts w:hint="eastAsia" w:ascii="仿宋_GB2312" w:hAnsi="仿宋_GB2312" w:eastAsia="仿宋_GB2312" w:cs="仿宋_GB2312"/>
          <w:color w:val="000000"/>
          <w:sz w:val="32"/>
          <w:szCs w:val="32"/>
          <w:shd w:val="clear" w:color="auto" w:fill="FFFFFF"/>
          <w:lang w:eastAsia="zh-CN"/>
        </w:rPr>
        <w:t>目标完成</w:t>
      </w:r>
      <w:r>
        <w:rPr>
          <w:rFonts w:hint="eastAsia" w:ascii="仿宋_GB2312" w:hAnsi="仿宋_GB2312" w:eastAsia="仿宋_GB2312" w:cs="仿宋_GB2312"/>
          <w:color w:val="000000"/>
          <w:sz w:val="32"/>
          <w:szCs w:val="32"/>
          <w:shd w:val="clear" w:color="auto" w:fill="FFFFFF"/>
        </w:rPr>
        <w:t>情况</w:t>
      </w:r>
      <w:r>
        <w:rPr>
          <w:rFonts w:hint="eastAsia" w:ascii="仿宋_GB2312" w:hAnsi="仿宋_GB2312" w:eastAsia="仿宋_GB2312" w:cs="仿宋_GB2312"/>
          <w:color w:val="000000"/>
          <w:sz w:val="32"/>
          <w:szCs w:val="32"/>
          <w:shd w:val="clear" w:color="auto" w:fill="FFFFFF"/>
          <w:lang w:eastAsia="zh-CN"/>
        </w:rPr>
        <w:t>、发现的主要问题和改进措施</w:t>
      </w:r>
      <w:r>
        <w:rPr>
          <w:rFonts w:hint="eastAsia" w:ascii="仿宋_GB2312" w:hAnsi="仿宋_GB2312" w:eastAsia="仿宋_GB2312" w:cs="仿宋_GB2312"/>
          <w:color w:val="000000"/>
          <w:sz w:val="32"/>
          <w:szCs w:val="32"/>
          <w:shd w:val="clear" w:color="auto" w:fill="FFFFFF"/>
        </w:rPr>
        <w:t>等。</w:t>
      </w:r>
    </w:p>
    <w:p>
      <w:pPr>
        <w:pStyle w:val="6"/>
        <w:widowControl/>
        <w:tabs>
          <w:tab w:val="left" w:pos="1650"/>
        </w:tabs>
        <w:spacing w:line="620" w:lineRule="exact"/>
        <w:ind w:firstLine="640"/>
        <w:rPr>
          <w:rFonts w:ascii="仿宋_GB2312" w:hAnsi="仿宋_GB2312" w:eastAsia="仿宋_GB2312" w:cs="仿宋_GB2312"/>
          <w:color w:val="000000"/>
          <w:sz w:val="32"/>
          <w:szCs w:val="32"/>
          <w:shd w:val="clear" w:color="auto" w:fill="FFFFFF"/>
        </w:rPr>
      </w:pPr>
      <w:r>
        <w:rPr>
          <w:rFonts w:hint="eastAsia" w:ascii="黑体" w:hAnsi="宋体" w:eastAsia="黑体" w:cs="黑体"/>
          <w:sz w:val="32"/>
          <w:szCs w:val="32"/>
        </w:rPr>
        <w:t>第十</w:t>
      </w:r>
      <w:r>
        <w:rPr>
          <w:rFonts w:hint="eastAsia" w:ascii="黑体" w:hAnsi="宋体" w:eastAsia="黑体" w:cs="黑体"/>
          <w:sz w:val="32"/>
          <w:szCs w:val="32"/>
          <w:lang w:eastAsia="zh-CN"/>
        </w:rPr>
        <w:t>九</w:t>
      </w:r>
      <w:r>
        <w:rPr>
          <w:rFonts w:hint="eastAsia" w:ascii="黑体" w:hAnsi="宋体" w:eastAsia="黑体" w:cs="黑体"/>
          <w:sz w:val="32"/>
          <w:szCs w:val="32"/>
        </w:rPr>
        <w:t>条</w:t>
      </w:r>
      <w:r>
        <w:rPr>
          <w:rFonts w:hint="eastAsia" w:ascii="仿宋_GB2312" w:eastAsia="仿宋_GB2312" w:cs="仿宋_GB2312"/>
          <w:sz w:val="32"/>
          <w:szCs w:val="32"/>
        </w:rPr>
        <w:t xml:space="preserve"> </w:t>
      </w:r>
      <w:r>
        <w:rPr>
          <w:rFonts w:hint="eastAsia" w:ascii="仿宋_GB2312" w:hAnsi="仿宋_GB2312" w:eastAsia="仿宋_GB2312" w:cs="仿宋_GB2312"/>
          <w:color w:val="000000"/>
          <w:sz w:val="32"/>
          <w:szCs w:val="32"/>
          <w:shd w:val="clear" w:color="auto" w:fill="FFFFFF"/>
        </w:rPr>
        <w:t>财政部各地监管局应当按照工作职责和财政部要求，对补助资金进行监管。</w:t>
      </w:r>
    </w:p>
    <w:p>
      <w:pPr>
        <w:pStyle w:val="6"/>
        <w:widowControl/>
        <w:tabs>
          <w:tab w:val="left" w:pos="1650"/>
        </w:tabs>
        <w:spacing w:line="620" w:lineRule="exact"/>
        <w:ind w:firstLine="640"/>
        <w:rPr>
          <w:rFonts w:ascii="仿宋_GB2312" w:hAnsi="仿宋_GB2312" w:eastAsia="仿宋_GB2312" w:cs="仿宋_GB2312"/>
          <w:color w:val="000000"/>
          <w:sz w:val="32"/>
          <w:szCs w:val="32"/>
          <w:shd w:val="clear" w:color="auto" w:fill="FFFFFF"/>
        </w:rPr>
      </w:pPr>
      <w:r>
        <w:rPr>
          <w:rFonts w:hint="eastAsia" w:ascii="黑体" w:hAnsi="宋体" w:eastAsia="黑体" w:cs="黑体"/>
          <w:sz w:val="32"/>
          <w:szCs w:val="32"/>
        </w:rPr>
        <w:t>第二十条</w:t>
      </w:r>
      <w:r>
        <w:rPr>
          <w:rFonts w:hint="eastAsia" w:ascii="仿宋_GB2312" w:eastAsia="仿宋_GB2312" w:cs="仿宋_GB2312"/>
          <w:sz w:val="32"/>
          <w:szCs w:val="32"/>
        </w:rPr>
        <w:t xml:space="preserve"> </w:t>
      </w:r>
      <w:r>
        <w:rPr>
          <w:rFonts w:hint="eastAsia" w:ascii="仿宋_GB2312" w:hAnsi="仿宋_GB2312" w:eastAsia="仿宋_GB2312" w:cs="仿宋_GB2312"/>
          <w:color w:val="000000"/>
          <w:sz w:val="32"/>
          <w:szCs w:val="32"/>
          <w:shd w:val="clear" w:color="auto" w:fill="FFFFFF"/>
        </w:rPr>
        <w:t>各级财政部门、科协及科技馆应强化流程控制</w:t>
      </w:r>
      <w:r>
        <w:rPr>
          <w:rFonts w:hint="default" w:ascii="仿宋_GB2312" w:hAnsi="仿宋_GB2312" w:eastAsia="仿宋_GB2312" w:cs="仿宋_GB2312"/>
          <w:color w:val="000000"/>
          <w:sz w:val="32"/>
          <w:szCs w:val="32"/>
          <w:shd w:val="clear" w:color="auto" w:fill="FFFFFF"/>
          <w:lang w:val="en"/>
        </w:rPr>
        <w:t>,</w:t>
      </w:r>
      <w:r>
        <w:rPr>
          <w:rFonts w:hint="eastAsia" w:ascii="仿宋_GB2312" w:hAnsi="仿宋_GB2312" w:eastAsia="仿宋_GB2312" w:cs="仿宋_GB2312"/>
          <w:color w:val="000000"/>
          <w:sz w:val="32"/>
          <w:szCs w:val="32"/>
          <w:shd w:val="clear" w:color="auto" w:fill="FFFFFF"/>
        </w:rPr>
        <w:t>依法合规分配和使用资金，</w:t>
      </w:r>
      <w:r>
        <w:rPr>
          <w:rFonts w:hint="eastAsia" w:ascii="仿宋_GB2312" w:eastAsia="仿宋_GB2312" w:cs="仿宋_GB2312"/>
          <w:sz w:val="32"/>
          <w:szCs w:val="32"/>
        </w:rPr>
        <w:t>提高补助资金</w:t>
      </w:r>
      <w:r>
        <w:rPr>
          <w:rFonts w:hint="eastAsia" w:ascii="仿宋_GB2312" w:eastAsia="仿宋_GB2312" w:cs="仿宋_GB2312"/>
          <w:sz w:val="32"/>
          <w:szCs w:val="32"/>
          <w:lang w:eastAsia="zh-CN"/>
        </w:rPr>
        <w:t>使用</w:t>
      </w:r>
      <w:r>
        <w:rPr>
          <w:rFonts w:hint="eastAsia" w:ascii="仿宋_GB2312" w:eastAsia="仿宋_GB2312" w:cs="仿宋_GB2312"/>
          <w:sz w:val="32"/>
          <w:szCs w:val="32"/>
        </w:rPr>
        <w:t>的安全性、有效性、规范性。</w:t>
      </w:r>
    </w:p>
    <w:p>
      <w:pPr>
        <w:pStyle w:val="6"/>
        <w:widowControl/>
        <w:tabs>
          <w:tab w:val="left" w:pos="1650"/>
        </w:tabs>
        <w:spacing w:line="620" w:lineRule="exact"/>
        <w:ind w:firstLine="640"/>
        <w:rPr>
          <w:rFonts w:ascii="仿宋_GB2312" w:hAnsi="仿宋_GB2312" w:eastAsia="仿宋_GB2312" w:cs="仿宋_GB2312"/>
          <w:color w:val="000000"/>
          <w:sz w:val="32"/>
          <w:szCs w:val="32"/>
          <w:shd w:val="clear" w:color="auto" w:fill="FFFFFF"/>
        </w:rPr>
      </w:pPr>
      <w:r>
        <w:rPr>
          <w:rFonts w:hint="eastAsia" w:ascii="黑体" w:hAnsi="宋体" w:eastAsia="黑体" w:cs="黑体"/>
          <w:sz w:val="32"/>
          <w:szCs w:val="32"/>
        </w:rPr>
        <w:t>第二十</w:t>
      </w:r>
      <w:r>
        <w:rPr>
          <w:rFonts w:hint="eastAsia" w:ascii="黑体" w:hAnsi="宋体" w:eastAsia="黑体" w:cs="黑体"/>
          <w:sz w:val="32"/>
          <w:szCs w:val="32"/>
          <w:lang w:eastAsia="zh-CN"/>
        </w:rPr>
        <w:t>一</w:t>
      </w:r>
      <w:r>
        <w:rPr>
          <w:rFonts w:hint="eastAsia" w:ascii="黑体" w:hAnsi="宋体" w:eastAsia="黑体" w:cs="黑体"/>
          <w:sz w:val="32"/>
          <w:szCs w:val="32"/>
        </w:rPr>
        <w:t>条</w:t>
      </w:r>
      <w:r>
        <w:rPr>
          <w:rFonts w:hint="eastAsia" w:ascii="仿宋_GB2312" w:eastAsia="仿宋_GB2312" w:cs="仿宋_GB2312"/>
          <w:sz w:val="32"/>
          <w:szCs w:val="32"/>
        </w:rPr>
        <w:t xml:space="preserve"> </w:t>
      </w:r>
      <w:r>
        <w:rPr>
          <w:rFonts w:hint="eastAsia" w:ascii="仿宋_GB2312" w:hAnsi="仿宋_GB2312" w:eastAsia="仿宋_GB2312" w:cs="仿宋_GB2312"/>
          <w:color w:val="000000"/>
          <w:sz w:val="32"/>
          <w:szCs w:val="32"/>
          <w:shd w:val="clear" w:color="auto" w:fill="FFFFFF"/>
        </w:rPr>
        <w:t>地方各级财政部门、科协及科技馆，应当对上报的可能影响资金分配结果的有关数据和信息的真实性、准确性负责。发现违规使用资金、损失浪费严重、低效无效等重大问题的，应当按照程序及时报告财政部、中国科协。</w:t>
      </w:r>
    </w:p>
    <w:p>
      <w:pPr>
        <w:pStyle w:val="6"/>
        <w:widowControl/>
        <w:tabs>
          <w:tab w:val="left" w:pos="1650"/>
        </w:tabs>
        <w:spacing w:line="620" w:lineRule="exact"/>
        <w:ind w:firstLine="640"/>
        <w:rPr>
          <w:rFonts w:ascii="仿宋_GB2312" w:eastAsia="仿宋_GB2312" w:cs="仿宋_GB2312"/>
          <w:color w:val="000000"/>
          <w:sz w:val="32"/>
          <w:szCs w:val="32"/>
        </w:rPr>
      </w:pPr>
      <w:r>
        <w:rPr>
          <w:rFonts w:hint="eastAsia" w:ascii="黑体" w:hAnsi="宋体" w:eastAsia="黑体" w:cs="黑体"/>
          <w:sz w:val="32"/>
          <w:szCs w:val="32"/>
        </w:rPr>
        <w:t>第二十</w:t>
      </w:r>
      <w:r>
        <w:rPr>
          <w:rFonts w:hint="eastAsia" w:ascii="黑体" w:hAnsi="宋体" w:eastAsia="黑体" w:cs="黑体"/>
          <w:sz w:val="32"/>
          <w:szCs w:val="32"/>
          <w:lang w:eastAsia="zh-CN"/>
        </w:rPr>
        <w:t>二</w:t>
      </w:r>
      <w:r>
        <w:rPr>
          <w:rFonts w:hint="eastAsia" w:ascii="黑体" w:hAnsi="宋体" w:eastAsia="黑体" w:cs="黑体"/>
          <w:sz w:val="32"/>
          <w:szCs w:val="32"/>
        </w:rPr>
        <w:t>条</w:t>
      </w:r>
      <w:r>
        <w:rPr>
          <w:rFonts w:hint="eastAsia" w:ascii="仿宋_GB2312" w:eastAsia="仿宋_GB2312" w:cs="仿宋_GB2312"/>
          <w:sz w:val="32"/>
          <w:szCs w:val="32"/>
        </w:rPr>
        <w:t xml:space="preserve"> 科技馆应当严格执行国家会计法律法规制度，按规定管理使用资金，开展全过程绩效管理，并自觉接受监督及绩效评价。</w:t>
      </w:r>
    </w:p>
    <w:p>
      <w:pPr>
        <w:pStyle w:val="6"/>
        <w:widowControl/>
        <w:tabs>
          <w:tab w:val="left" w:pos="1650"/>
        </w:tabs>
        <w:spacing w:line="620" w:lineRule="exact"/>
        <w:ind w:firstLine="640"/>
        <w:rPr>
          <w:rFonts w:hint="eastAsia" w:ascii="仿宋_GB2312" w:eastAsia="仿宋_GB2312" w:cs="仿宋_GB2312"/>
          <w:color w:val="000000"/>
          <w:sz w:val="32"/>
          <w:szCs w:val="32"/>
          <w:lang w:eastAsia="zh-CN"/>
        </w:rPr>
      </w:pPr>
      <w:r>
        <w:rPr>
          <w:rFonts w:hint="eastAsia" w:ascii="黑体" w:hAnsi="宋体" w:eastAsia="黑体" w:cs="黑体"/>
          <w:sz w:val="32"/>
          <w:szCs w:val="32"/>
        </w:rPr>
        <w:t>第二十</w:t>
      </w:r>
      <w:r>
        <w:rPr>
          <w:rFonts w:hint="eastAsia" w:ascii="黑体" w:hAnsi="宋体" w:eastAsia="黑体" w:cs="黑体"/>
          <w:sz w:val="32"/>
          <w:szCs w:val="32"/>
          <w:lang w:eastAsia="zh-CN"/>
        </w:rPr>
        <w:t>三</w:t>
      </w:r>
      <w:r>
        <w:rPr>
          <w:rFonts w:hint="eastAsia" w:ascii="黑体" w:hAnsi="宋体" w:eastAsia="黑体" w:cs="黑体"/>
          <w:sz w:val="32"/>
          <w:szCs w:val="32"/>
        </w:rPr>
        <w:t>条</w:t>
      </w:r>
      <w:r>
        <w:rPr>
          <w:rFonts w:hint="eastAsia" w:ascii="仿宋_GB2312" w:eastAsia="仿宋_GB2312" w:cs="仿宋_GB2312"/>
          <w:sz w:val="32"/>
          <w:szCs w:val="32"/>
        </w:rPr>
        <w:t xml:space="preserve"> </w:t>
      </w:r>
      <w:r>
        <w:rPr>
          <w:rFonts w:hint="eastAsia" w:ascii="仿宋_GB2312" w:eastAsia="仿宋_GB2312" w:cs="仿宋_GB2312"/>
          <w:snapToGrid w:val="0"/>
          <w:sz w:val="32"/>
          <w:szCs w:val="32"/>
        </w:rPr>
        <w:t>各级财政部门、科协及其工作人员在补助资金分配、使用、管理等相关工作中，存在违反本办法规定，以及其他滥用职权、玩忽职守、徇私舞弊等违法违纪行为的，依法</w:t>
      </w:r>
      <w:r>
        <w:rPr>
          <w:rFonts w:hint="eastAsia" w:ascii="仿宋_GB2312" w:eastAsia="仿宋_GB2312" w:cs="仿宋_GB2312"/>
          <w:snapToGrid w:val="0"/>
          <w:sz w:val="32"/>
          <w:szCs w:val="32"/>
          <w:lang w:eastAsia="zh-CN"/>
        </w:rPr>
        <w:t>追究相应责任。</w:t>
      </w:r>
    </w:p>
    <w:p>
      <w:pPr>
        <w:pStyle w:val="6"/>
        <w:widowControl/>
        <w:tabs>
          <w:tab w:val="left" w:pos="1650"/>
        </w:tabs>
        <w:spacing w:line="620" w:lineRule="exact"/>
        <w:ind w:firstLine="640"/>
        <w:rPr>
          <w:rFonts w:ascii="仿宋_GB2312" w:eastAsia="仿宋_GB2312" w:cs="仿宋_GB2312"/>
          <w:color w:val="000000"/>
          <w:sz w:val="32"/>
          <w:szCs w:val="32"/>
        </w:rPr>
      </w:pPr>
      <w:r>
        <w:rPr>
          <w:rFonts w:hint="eastAsia" w:ascii="黑体" w:hAnsi="宋体" w:eastAsia="黑体" w:cs="黑体"/>
          <w:sz w:val="32"/>
          <w:szCs w:val="32"/>
        </w:rPr>
        <w:t>第二十</w:t>
      </w:r>
      <w:r>
        <w:rPr>
          <w:rFonts w:hint="eastAsia" w:ascii="黑体" w:hAnsi="宋体" w:eastAsia="黑体" w:cs="黑体"/>
          <w:sz w:val="32"/>
          <w:szCs w:val="32"/>
          <w:lang w:eastAsia="zh-CN"/>
        </w:rPr>
        <w:t>四</w:t>
      </w:r>
      <w:r>
        <w:rPr>
          <w:rFonts w:hint="eastAsia" w:ascii="黑体" w:hAnsi="宋体" w:eastAsia="黑体" w:cs="黑体"/>
          <w:sz w:val="32"/>
          <w:szCs w:val="32"/>
        </w:rPr>
        <w:t>条</w:t>
      </w:r>
      <w:r>
        <w:rPr>
          <w:rFonts w:hint="eastAsia" w:ascii="仿宋_GB2312" w:eastAsia="仿宋_GB2312" w:cs="仿宋_GB2312"/>
          <w:sz w:val="32"/>
          <w:szCs w:val="32"/>
        </w:rPr>
        <w:t xml:space="preserve"> </w:t>
      </w:r>
      <w:r>
        <w:rPr>
          <w:rFonts w:hint="eastAsia" w:ascii="仿宋_GB2312" w:hAnsi="仿宋_GB2312" w:eastAsia="仿宋_GB2312" w:cs="仿宋_GB2312"/>
          <w:color w:val="000000"/>
          <w:sz w:val="32"/>
          <w:szCs w:val="32"/>
          <w:shd w:val="clear" w:color="auto" w:fill="FFFFFF"/>
        </w:rPr>
        <w:t>资金使用单位和个人在补助资金</w:t>
      </w:r>
      <w:r>
        <w:rPr>
          <w:rFonts w:hint="eastAsia" w:ascii="仿宋_GB2312" w:hAnsi="仿宋_GB2312" w:eastAsia="仿宋_GB2312" w:cs="仿宋_GB2312"/>
          <w:color w:val="000000"/>
          <w:sz w:val="32"/>
          <w:szCs w:val="32"/>
          <w:shd w:val="clear" w:color="auto" w:fill="FFFFFF"/>
          <w:lang w:eastAsia="zh-CN"/>
        </w:rPr>
        <w:t>申报、</w:t>
      </w:r>
      <w:r>
        <w:rPr>
          <w:rFonts w:hint="eastAsia" w:ascii="仿宋_GB2312" w:hAnsi="仿宋_GB2312" w:eastAsia="仿宋_GB2312" w:cs="仿宋_GB2312"/>
          <w:color w:val="000000"/>
          <w:sz w:val="32"/>
          <w:szCs w:val="32"/>
          <w:shd w:val="clear" w:color="auto" w:fill="FFFFFF"/>
        </w:rPr>
        <w:t>使用过程中存在各类违法违规行为的，按照《中华人民共和国预算法》及其实施条例、《财政违法行为处罚处分条例》等国家有关规定追究相应责任。</w:t>
      </w:r>
    </w:p>
    <w:p>
      <w:pPr>
        <w:pStyle w:val="6"/>
        <w:widowControl/>
        <w:spacing w:line="620" w:lineRule="exact"/>
        <w:ind w:firstLine="0" w:firstLineChars="0"/>
        <w:jc w:val="center"/>
        <w:rPr>
          <w:rFonts w:ascii="黑体" w:eastAsia="黑体" w:cs="黑体"/>
          <w:sz w:val="32"/>
          <w:szCs w:val="32"/>
        </w:rPr>
      </w:pPr>
      <w:r>
        <w:rPr>
          <w:rFonts w:hint="eastAsia" w:ascii="黑体" w:eastAsia="黑体" w:cs="黑体"/>
          <w:sz w:val="32"/>
          <w:szCs w:val="32"/>
        </w:rPr>
        <w:t>第六章  附  则</w:t>
      </w:r>
    </w:p>
    <w:p>
      <w:pPr>
        <w:pStyle w:val="6"/>
        <w:widowControl/>
        <w:tabs>
          <w:tab w:val="left" w:pos="1650"/>
        </w:tabs>
        <w:spacing w:line="620" w:lineRule="exact"/>
        <w:ind w:firstLine="640"/>
        <w:rPr>
          <w:rFonts w:ascii="仿宋_GB2312" w:eastAsia="仿宋_GB2312" w:cs="仿宋_GB2312"/>
          <w:sz w:val="32"/>
          <w:szCs w:val="32"/>
        </w:rPr>
      </w:pPr>
      <w:r>
        <w:rPr>
          <w:rFonts w:hint="eastAsia" w:ascii="黑体" w:hAnsi="宋体" w:eastAsia="黑体" w:cs="黑体"/>
          <w:sz w:val="32"/>
          <w:szCs w:val="32"/>
        </w:rPr>
        <w:t>第二十</w:t>
      </w:r>
      <w:r>
        <w:rPr>
          <w:rFonts w:hint="eastAsia" w:ascii="黑体" w:hAnsi="宋体" w:eastAsia="黑体" w:cs="黑体"/>
          <w:sz w:val="32"/>
          <w:szCs w:val="32"/>
          <w:lang w:eastAsia="zh-CN"/>
        </w:rPr>
        <w:t>五</w:t>
      </w:r>
      <w:r>
        <w:rPr>
          <w:rFonts w:hint="eastAsia" w:ascii="黑体" w:hAnsi="宋体" w:eastAsia="黑体" w:cs="黑体"/>
          <w:sz w:val="32"/>
          <w:szCs w:val="32"/>
        </w:rPr>
        <w:t>条</w:t>
      </w:r>
      <w:r>
        <w:rPr>
          <w:rFonts w:hint="eastAsia" w:ascii="仿宋_GB2312" w:eastAsia="仿宋_GB2312" w:cs="仿宋_GB2312"/>
          <w:sz w:val="32"/>
          <w:szCs w:val="32"/>
        </w:rPr>
        <w:t xml:space="preserve"> </w:t>
      </w:r>
      <w:r>
        <w:rPr>
          <w:rFonts w:hint="eastAsia" w:ascii="仿宋_GB2312" w:hAnsi="仿宋_GB2312" w:eastAsia="仿宋_GB2312" w:cs="仿宋_GB2312"/>
          <w:color w:val="000000"/>
          <w:sz w:val="32"/>
          <w:szCs w:val="32"/>
          <w:shd w:val="clear" w:color="auto" w:fill="FFFFFF"/>
        </w:rPr>
        <w:t>本办法由财政部</w:t>
      </w:r>
      <w:r>
        <w:rPr>
          <w:rFonts w:hint="eastAsia" w:ascii="仿宋_GB2312" w:hAnsi="仿宋_GB2312" w:eastAsia="仿宋_GB2312" w:cs="仿宋_GB2312"/>
          <w:color w:val="000000"/>
          <w:sz w:val="32"/>
          <w:szCs w:val="32"/>
          <w:shd w:val="clear" w:color="auto" w:fill="FFFFFF"/>
          <w:lang w:eastAsia="zh-CN"/>
        </w:rPr>
        <w:t>会同</w:t>
      </w:r>
      <w:r>
        <w:rPr>
          <w:rFonts w:hint="eastAsia" w:ascii="仿宋_GB2312" w:hAnsi="仿宋_GB2312" w:eastAsia="仿宋_GB2312" w:cs="仿宋_GB2312"/>
          <w:color w:val="000000"/>
          <w:sz w:val="32"/>
          <w:szCs w:val="32"/>
          <w:shd w:val="clear" w:color="auto" w:fill="FFFFFF"/>
        </w:rPr>
        <w:t>中国科协负责解释。省级财政部门、科协</w:t>
      </w:r>
      <w:r>
        <w:rPr>
          <w:rFonts w:hint="eastAsia" w:ascii="仿宋_GB2312" w:hAnsi="仿宋_GB2312" w:eastAsia="仿宋_GB2312" w:cs="仿宋_GB2312"/>
          <w:color w:val="000000"/>
          <w:sz w:val="32"/>
          <w:szCs w:val="32"/>
          <w:shd w:val="clear" w:color="auto" w:fill="FFFFFF"/>
          <w:lang w:eastAsia="zh-CN"/>
        </w:rPr>
        <w:t>可</w:t>
      </w:r>
      <w:r>
        <w:rPr>
          <w:rFonts w:hint="eastAsia" w:ascii="仿宋_GB2312" w:hAnsi="仿宋_GB2312" w:eastAsia="仿宋_GB2312" w:cs="仿宋_GB2312"/>
          <w:color w:val="000000"/>
          <w:sz w:val="32"/>
          <w:szCs w:val="32"/>
          <w:shd w:val="clear" w:color="auto" w:fill="FFFFFF"/>
        </w:rPr>
        <w:t>结合各地实际，根据本办法制定具体管理办法。</w:t>
      </w:r>
    </w:p>
    <w:p>
      <w:pPr>
        <w:pStyle w:val="6"/>
        <w:widowControl/>
        <w:tabs>
          <w:tab w:val="left" w:pos="1650"/>
        </w:tabs>
        <w:spacing w:line="620" w:lineRule="exact"/>
        <w:ind w:firstLine="640"/>
        <w:rPr>
          <w:rFonts w:ascii="仿宋_GB2312" w:eastAsia="仿宋_GB2312" w:cs="仿宋_GB2312"/>
          <w:sz w:val="32"/>
          <w:szCs w:val="32"/>
        </w:rPr>
      </w:pPr>
      <w:r>
        <w:rPr>
          <w:rFonts w:hint="eastAsia" w:ascii="黑体" w:hAnsi="宋体" w:eastAsia="黑体" w:cs="黑体"/>
          <w:sz w:val="32"/>
          <w:szCs w:val="32"/>
        </w:rPr>
        <w:t>第二十</w:t>
      </w:r>
      <w:r>
        <w:rPr>
          <w:rFonts w:hint="eastAsia" w:ascii="黑体" w:hAnsi="宋体" w:eastAsia="黑体" w:cs="黑体"/>
          <w:sz w:val="32"/>
          <w:szCs w:val="32"/>
          <w:lang w:eastAsia="zh-CN"/>
        </w:rPr>
        <w:t>六</w:t>
      </w:r>
      <w:r>
        <w:rPr>
          <w:rFonts w:hint="eastAsia" w:ascii="黑体" w:hAnsi="宋体" w:eastAsia="黑体" w:cs="黑体"/>
          <w:sz w:val="32"/>
          <w:szCs w:val="32"/>
        </w:rPr>
        <w:t>条</w:t>
      </w:r>
      <w:r>
        <w:rPr>
          <w:rFonts w:hint="eastAsia" w:ascii="仿宋_GB2312" w:eastAsia="仿宋_GB2312" w:cs="仿宋_GB2312"/>
          <w:sz w:val="32"/>
          <w:szCs w:val="32"/>
        </w:rPr>
        <w:t xml:space="preserve"> 本办法自</w:t>
      </w:r>
      <w:r>
        <w:rPr>
          <w:rFonts w:hint="eastAsia" w:ascii="仿宋_GB2312" w:eastAsia="仿宋_GB2312" w:cs="仿宋_GB2312"/>
          <w:sz w:val="32"/>
          <w:szCs w:val="32"/>
          <w:lang w:eastAsia="zh-CN"/>
        </w:rPr>
        <w:t>印发之日</w:t>
      </w:r>
      <w:r>
        <w:rPr>
          <w:rFonts w:hint="eastAsia" w:ascii="仿宋_GB2312" w:eastAsia="仿宋_GB2312" w:cs="仿宋_GB2312"/>
          <w:sz w:val="32"/>
          <w:szCs w:val="32"/>
        </w:rPr>
        <w:t>起施行。</w:t>
      </w:r>
    </w:p>
    <w:p/>
    <w:sectPr>
      <w:footerReference r:id="rId3" w:type="default"/>
      <w:pgSz w:w="11906" w:h="16838"/>
      <w:pgMar w:top="2098" w:right="1474" w:bottom="164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小标宋">
    <w:altName w:val="方正小标宋_GBK"/>
    <w:panose1 w:val="00000000000000000000"/>
    <w:charset w:val="86"/>
    <w:family w:val="auto"/>
    <w:pitch w:val="default"/>
    <w:sig w:usb0="00000000" w:usb1="00000000" w:usb2="00000000" w:usb3="00000000" w:csb0="00040000" w:csb1="00000000"/>
  </w:font>
  <w:font w:name="Batang">
    <w:altName w:val="宋体"/>
    <w:panose1 w:val="02030600000101010101"/>
    <w:charset w:val="81"/>
    <w:family w:val="auto"/>
    <w:pitch w:val="default"/>
    <w:sig w:usb0="00000000" w:usb1="00000000" w:usb2="00000010" w:usb3="00000000" w:csb0="0008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汉仪仿宋简"/>
    <w:panose1 w:val="02010600040101010101"/>
    <w:charset w:val="86"/>
    <w:family w:val="auto"/>
    <w:pitch w:val="default"/>
    <w:sig w:usb0="00000000" w:usb1="00000000" w:usb2="00000010" w:usb3="00000000" w:csb0="0004009F" w:csb1="00000000"/>
  </w:font>
  <w:font w:name="DejaVu Sans">
    <w:panose1 w:val="020B0603030804020204"/>
    <w:charset w:val="00"/>
    <w:family w:val="auto"/>
    <w:pitch w:val="default"/>
    <w:sig w:usb0="E7006EFF" w:usb1="D200FDFF" w:usb2="0A246029" w:usb3="0400200C" w:csb0="600001FF" w:csb1="DFFF0000"/>
  </w:font>
  <w:font w:name="方正小标宋_GBK">
    <w:panose1 w:val="03000502000000000000"/>
    <w:charset w:val="86"/>
    <w:family w:val="auto"/>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 w:name="汉仪仿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0C0326"/>
    <w:multiLevelType w:val="multilevel"/>
    <w:tmpl w:val="EE0C0326"/>
    <w:lvl w:ilvl="0" w:tentative="0">
      <w:start w:val="2"/>
      <w:numFmt w:val="chineseCounting"/>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0922ACC0"/>
    <w:multiLevelType w:val="multilevel"/>
    <w:tmpl w:val="0922ACC0"/>
    <w:lvl w:ilvl="0" w:tentative="0">
      <w:start w:val="1"/>
      <w:numFmt w:val="chineseCounting"/>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revisionView w:markup="0"/>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g0MjU2OGUzNGY0YmQzOWE4NDczNWQ3ZDBjYTVmNDMifQ=="/>
  </w:docVars>
  <w:rsids>
    <w:rsidRoot w:val="7064698B"/>
    <w:rsid w:val="000E705E"/>
    <w:rsid w:val="0024696D"/>
    <w:rsid w:val="002E7727"/>
    <w:rsid w:val="00375473"/>
    <w:rsid w:val="003E19B0"/>
    <w:rsid w:val="0047426D"/>
    <w:rsid w:val="004D4CE3"/>
    <w:rsid w:val="0050275B"/>
    <w:rsid w:val="00630C44"/>
    <w:rsid w:val="007A0A5A"/>
    <w:rsid w:val="00BB6E70"/>
    <w:rsid w:val="00C551D4"/>
    <w:rsid w:val="00DE07E5"/>
    <w:rsid w:val="00E8184D"/>
    <w:rsid w:val="00ED6BA5"/>
    <w:rsid w:val="00F03F64"/>
    <w:rsid w:val="00F17A19"/>
    <w:rsid w:val="00F708B9"/>
    <w:rsid w:val="0F5E5267"/>
    <w:rsid w:val="0FDF5003"/>
    <w:rsid w:val="17F33419"/>
    <w:rsid w:val="20794ACC"/>
    <w:rsid w:val="27F573D4"/>
    <w:rsid w:val="2F6BA26A"/>
    <w:rsid w:val="2FEFBEB5"/>
    <w:rsid w:val="33F72A09"/>
    <w:rsid w:val="37CCE92B"/>
    <w:rsid w:val="37FF6FF2"/>
    <w:rsid w:val="3D7EA413"/>
    <w:rsid w:val="3F4F2552"/>
    <w:rsid w:val="49E5C6BE"/>
    <w:rsid w:val="4DEFC50B"/>
    <w:rsid w:val="4F7F5149"/>
    <w:rsid w:val="4FBAA627"/>
    <w:rsid w:val="57FED516"/>
    <w:rsid w:val="5DE79A15"/>
    <w:rsid w:val="5DFFC33F"/>
    <w:rsid w:val="5F797391"/>
    <w:rsid w:val="5FEF4769"/>
    <w:rsid w:val="659F23A1"/>
    <w:rsid w:val="676B0ACA"/>
    <w:rsid w:val="6E7F1240"/>
    <w:rsid w:val="6EFA39A6"/>
    <w:rsid w:val="6F475272"/>
    <w:rsid w:val="7064698B"/>
    <w:rsid w:val="75B76627"/>
    <w:rsid w:val="75DFD87F"/>
    <w:rsid w:val="75FF64E8"/>
    <w:rsid w:val="777B1D98"/>
    <w:rsid w:val="77EBC8D6"/>
    <w:rsid w:val="7827ED1B"/>
    <w:rsid w:val="7CD8DF62"/>
    <w:rsid w:val="7EDF65E3"/>
    <w:rsid w:val="7F67319D"/>
    <w:rsid w:val="7FC7B31E"/>
    <w:rsid w:val="7FD7E1BE"/>
    <w:rsid w:val="A14F4CB3"/>
    <w:rsid w:val="AE92C1A3"/>
    <w:rsid w:val="B2DF5968"/>
    <w:rsid w:val="BF7DE438"/>
    <w:rsid w:val="C4BF24CD"/>
    <w:rsid w:val="C7DF3A48"/>
    <w:rsid w:val="D5B782C0"/>
    <w:rsid w:val="DEFD6453"/>
    <w:rsid w:val="DFDF1ACF"/>
    <w:rsid w:val="EBFF69B0"/>
    <w:rsid w:val="F7BF41C1"/>
    <w:rsid w:val="F9FFDB09"/>
    <w:rsid w:val="FB3368A0"/>
    <w:rsid w:val="FC7F6AEB"/>
    <w:rsid w:val="FDDFB860"/>
    <w:rsid w:val="FE2FA4A5"/>
    <w:rsid w:val="FE7EDBD8"/>
    <w:rsid w:val="FEFD2174"/>
    <w:rsid w:val="FF6FDD8D"/>
    <w:rsid w:val="FFBBE1FE"/>
    <w:rsid w:val="FFDBC5A7"/>
    <w:rsid w:val="FFEFFE28"/>
    <w:rsid w:val="FFFF6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link w:val="11"/>
    <w:semiHidden/>
    <w:unhideWhenUsed/>
    <w:qFormat/>
    <w:uiPriority w:val="0"/>
    <w:pPr>
      <w:keepNext/>
      <w:keepLines/>
      <w:spacing w:before="260" w:after="260" w:line="415" w:lineRule="auto"/>
      <w:outlineLvl w:val="2"/>
    </w:pPr>
    <w:rPr>
      <w:rFonts w:ascii="Times New Roman" w:hAnsi="Times New Roman" w:eastAsia="宋体" w:cs="Times New Roman"/>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9"/>
    <w:qFormat/>
    <w:uiPriority w:val="0"/>
    <w:pPr>
      <w:spacing w:after="120"/>
    </w:pPr>
  </w:style>
  <w:style w:type="paragraph" w:styleId="4">
    <w:name w:val="footer"/>
    <w:basedOn w:val="1"/>
    <w:link w:val="12"/>
    <w:qFormat/>
    <w:uiPriority w:val="0"/>
    <w:pPr>
      <w:tabs>
        <w:tab w:val="center" w:pos="4153"/>
        <w:tab w:val="right" w:pos="8306"/>
      </w:tabs>
      <w:snapToGrid w:val="0"/>
      <w:jc w:val="left"/>
    </w:pPr>
    <w:rPr>
      <w:sz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Indent 3"/>
    <w:basedOn w:val="1"/>
    <w:link w:val="10"/>
    <w:qFormat/>
    <w:uiPriority w:val="0"/>
    <w:pPr>
      <w:snapToGrid w:val="0"/>
      <w:spacing w:line="360" w:lineRule="auto"/>
      <w:ind w:firstLine="480" w:firstLineChars="200"/>
    </w:pPr>
    <w:rPr>
      <w:rFonts w:ascii="Times New Roman" w:hAnsi="Times New Roman" w:eastAsia="宋体" w:cs="Times New Roman"/>
      <w:sz w:val="24"/>
    </w:rPr>
  </w:style>
  <w:style w:type="character" w:customStyle="1" w:styleId="9">
    <w:name w:val="正文文本 字符"/>
    <w:basedOn w:val="8"/>
    <w:link w:val="3"/>
    <w:qFormat/>
    <w:uiPriority w:val="0"/>
    <w:rPr>
      <w:kern w:val="2"/>
      <w:sz w:val="21"/>
      <w:szCs w:val="24"/>
    </w:rPr>
  </w:style>
  <w:style w:type="character" w:customStyle="1" w:styleId="10">
    <w:name w:val="正文文本缩进 3 字符"/>
    <w:basedOn w:val="8"/>
    <w:link w:val="6"/>
    <w:qFormat/>
    <w:uiPriority w:val="0"/>
    <w:rPr>
      <w:kern w:val="2"/>
      <w:sz w:val="24"/>
      <w:szCs w:val="24"/>
    </w:rPr>
  </w:style>
  <w:style w:type="character" w:customStyle="1" w:styleId="11">
    <w:name w:val="标题 3 字符"/>
    <w:basedOn w:val="8"/>
    <w:link w:val="2"/>
    <w:qFormat/>
    <w:uiPriority w:val="0"/>
    <w:rPr>
      <w:b/>
      <w:bCs/>
      <w:kern w:val="2"/>
      <w:sz w:val="32"/>
      <w:szCs w:val="32"/>
    </w:rPr>
  </w:style>
  <w:style w:type="character" w:customStyle="1" w:styleId="12">
    <w:name w:val="页脚 字符"/>
    <w:basedOn w:val="8"/>
    <w:link w:val="4"/>
    <w:qFormat/>
    <w:uiPriority w:val="0"/>
    <w:rPr>
      <w:kern w:val="2"/>
      <w:sz w:val="18"/>
      <w:szCs w:val="18"/>
    </w:rPr>
  </w:style>
  <w:style w:type="character" w:customStyle="1" w:styleId="13">
    <w:name w:val="NormalCharacter"/>
    <w:basedOn w:val="8"/>
    <w:qFormat/>
    <w:uiPriority w:val="0"/>
  </w:style>
  <w:style w:type="character" w:customStyle="1" w:styleId="14">
    <w:name w:val="页眉 字符"/>
    <w:basedOn w:val="8"/>
    <w:link w:val="5"/>
    <w:qFormat/>
    <w:uiPriority w:val="0"/>
    <w:rPr>
      <w:rFonts w:asciiTheme="minorHAnsi" w:hAnsiTheme="minorHAnsi" w:eastAsiaTheme="minorEastAsia" w:cstheme="minorBidi"/>
      <w:kern w:val="2"/>
      <w:sz w:val="18"/>
      <w:szCs w:val="18"/>
    </w:rPr>
  </w:style>
  <w:style w:type="paragraph" w:customStyle="1" w:styleId="15">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464</Words>
  <Characters>2647</Characters>
  <Lines>22</Lines>
  <Paragraphs>6</Paragraphs>
  <TotalTime>15</TotalTime>
  <ScaleCrop>false</ScaleCrop>
  <LinksUpToDate>false</LinksUpToDate>
  <CharactersWithSpaces>3105</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2022-12-18T07:07:00Z</dcterms:created>
  <dc:creator>刘劲松</dc:creator>
  <cp:lastModifiedBy>zhangxh</cp:lastModifiedBy>
  <dcterms:modified xsi:type="dcterms:W3CDTF">2023-09-08T17:46:44Z</dcterms:modified>
  <dc:title>科技馆免费开放补助资金管理办法</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03CB2CB5592D4FB59BFE39C52D16803F</vt:lpwstr>
  </property>
</Properties>
</file>